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FAD3" w14:textId="77777777" w:rsidR="008D3EF2" w:rsidRDefault="003842DF" w:rsidP="008D3EF2">
      <w:pPr>
        <w:spacing w:after="0"/>
        <w:jc w:val="both"/>
      </w:pPr>
      <w:r>
        <w:t xml:space="preserve">Bestimmte biologische Arbeitsstoffe der Risikogruppe 3, die normalerweise nicht über den Luftweg übertragen werden, wurden im Rahmen der Einstufung von biologischen Arbeitsstoffen mit zwei Sternchen versehen. Sie werden im Folgenden zur Vereinfachung als „Biologische Arbeitsstoffe der Risikogruppe 3(**)“ bezeichnet. Zum Schutz der Beschäftigten sind </w:t>
      </w:r>
      <w:r w:rsidRPr="004B5CAC">
        <w:rPr>
          <w:b/>
          <w:sz w:val="24"/>
          <w:szCs w:val="24"/>
        </w:rPr>
        <w:t xml:space="preserve">zusätzlich zu den Maßnahmen der Schutzstufe 2 </w:t>
      </w:r>
      <w:r w:rsidRPr="004B5CAC">
        <w:t>(siehe Checkliste S2)</w:t>
      </w:r>
      <w:r>
        <w:t xml:space="preserve"> die nachfolgend beschriebenen Anforderungen einzuhalten. Sie gelten für </w:t>
      </w:r>
      <w:r w:rsidRPr="00935925">
        <w:rPr>
          <w:u w:val="single"/>
        </w:rPr>
        <w:t>gezielte</w:t>
      </w:r>
      <w:r>
        <w:t xml:space="preserve"> Tätigkeiten mit biologischen Arbeitsstoffen der Risikogruppe 3(**) sowie auch für </w:t>
      </w:r>
      <w:r w:rsidRPr="00935925">
        <w:rPr>
          <w:u w:val="single"/>
        </w:rPr>
        <w:t>nicht gezielte</w:t>
      </w:r>
      <w:r>
        <w:t xml:space="preserve"> Tätigkeiten mit biologischen Arbeitsstoffen der Risikogruppe 3(**), wenn die Gefährdungsbeurteilung ergibt, dass die Schutzmaßnahmen der Schutzstufe 2 </w:t>
      </w:r>
      <w:r w:rsidRPr="003842DF">
        <w:rPr>
          <w:u w:val="single"/>
        </w:rPr>
        <w:t>nicht</w:t>
      </w:r>
      <w:r>
        <w:t xml:space="preserve"> ausreichend sind.</w:t>
      </w:r>
    </w:p>
    <w:p w14:paraId="13BBD8DE" w14:textId="31359CB4" w:rsidR="00935925" w:rsidRPr="00220E8B" w:rsidRDefault="003842DF" w:rsidP="008D3EF2">
      <w:pPr>
        <w:tabs>
          <w:tab w:val="left" w:pos="3790"/>
        </w:tabs>
        <w:spacing w:after="0"/>
        <w:jc w:val="both"/>
        <w:rPr>
          <w:color w:val="FF0000"/>
        </w:rPr>
      </w:pPr>
      <w:r w:rsidRPr="00220E8B">
        <w:rPr>
          <w:color w:val="FF0000"/>
          <w:u w:val="single"/>
        </w:rPr>
        <w:t>Achtung:</w:t>
      </w:r>
      <w:r w:rsidRPr="00220E8B">
        <w:rPr>
          <w:color w:val="FF0000"/>
        </w:rPr>
        <w:t xml:space="preserve"> </w:t>
      </w:r>
      <w:r w:rsidR="008D3EF2">
        <w:rPr>
          <w:color w:val="FF0000"/>
        </w:rPr>
        <w:tab/>
      </w:r>
    </w:p>
    <w:p w14:paraId="287B736C" w14:textId="77777777" w:rsidR="001E05A1" w:rsidRDefault="003842DF" w:rsidP="00935925">
      <w:pPr>
        <w:pStyle w:val="Listenabsatz"/>
        <w:numPr>
          <w:ilvl w:val="0"/>
          <w:numId w:val="39"/>
        </w:numPr>
        <w:jc w:val="both"/>
      </w:pPr>
      <w:r>
        <w:t xml:space="preserve">Die in Anlage 1 </w:t>
      </w:r>
      <w:r w:rsidR="000E7563">
        <w:t xml:space="preserve">der TRBA 100 </w:t>
      </w:r>
      <w:r>
        <w:t>aufgeführten Speziesbezogenen Schutzmaßnahmen sind zu berücksichtigen.</w:t>
      </w:r>
    </w:p>
    <w:p w14:paraId="0BAD3526" w14:textId="24BFC37E" w:rsidR="0068096F" w:rsidRDefault="00220E8B" w:rsidP="00A73E27">
      <w:pPr>
        <w:pStyle w:val="Listenabsatz"/>
        <w:numPr>
          <w:ilvl w:val="0"/>
          <w:numId w:val="39"/>
        </w:numPr>
        <w:jc w:val="both"/>
      </w:pPr>
      <w:r>
        <w:t>Es gelten (wenn vorhanden) Stellungnahmen und Beschlüsse des ABAS, z.B. b</w:t>
      </w:r>
      <w:r w:rsidR="00935925">
        <w:t>ei Umgang mit TSE assoziierten Agenzien der ABAS Beschluss 603 von März 2011</w:t>
      </w:r>
      <w:r>
        <w:t>.</w:t>
      </w:r>
    </w:p>
    <w:tbl>
      <w:tblPr>
        <w:tblStyle w:val="Tabellenraster"/>
        <w:tblpPr w:leftFromText="141" w:rightFromText="141" w:vertAnchor="text" w:tblpY="1"/>
        <w:tblOverlap w:val="never"/>
        <w:tblW w:w="14142" w:type="dxa"/>
        <w:tblLayout w:type="fixed"/>
        <w:tblLook w:val="04A0" w:firstRow="1" w:lastRow="0" w:firstColumn="1" w:lastColumn="0" w:noHBand="0" w:noVBand="1"/>
      </w:tblPr>
      <w:tblGrid>
        <w:gridCol w:w="2235"/>
        <w:gridCol w:w="5811"/>
        <w:gridCol w:w="1276"/>
        <w:gridCol w:w="567"/>
        <w:gridCol w:w="567"/>
        <w:gridCol w:w="3686"/>
      </w:tblGrid>
      <w:tr w:rsidR="008D3EF2" w:rsidRPr="00CB1CD7" w14:paraId="701E3937" w14:textId="77777777" w:rsidTr="008D3EF2">
        <w:trPr>
          <w:tblHeader/>
        </w:trPr>
        <w:tc>
          <w:tcPr>
            <w:tcW w:w="2235" w:type="dxa"/>
            <w:shd w:val="clear" w:color="auto" w:fill="BFBFBF" w:themeFill="background1" w:themeFillShade="BF"/>
            <w:vAlign w:val="center"/>
          </w:tcPr>
          <w:p w14:paraId="0EDCBD10" w14:textId="77777777" w:rsidR="008D3EF2" w:rsidRPr="00CB1CD7" w:rsidRDefault="008D3EF2" w:rsidP="008D3EF2">
            <w:pPr>
              <w:jc w:val="center"/>
              <w:rPr>
                <w:b/>
              </w:rPr>
            </w:pPr>
            <w:r w:rsidRPr="00CB1CD7">
              <w:rPr>
                <w:b/>
              </w:rPr>
              <w:t>Stichwort</w:t>
            </w:r>
          </w:p>
        </w:tc>
        <w:tc>
          <w:tcPr>
            <w:tcW w:w="5811" w:type="dxa"/>
            <w:shd w:val="clear" w:color="auto" w:fill="BFBFBF" w:themeFill="background1" w:themeFillShade="BF"/>
            <w:vAlign w:val="center"/>
          </w:tcPr>
          <w:p w14:paraId="454DC283" w14:textId="77777777" w:rsidR="008D3EF2" w:rsidRPr="00CB1CD7" w:rsidRDefault="008D3EF2" w:rsidP="008D3EF2">
            <w:pPr>
              <w:jc w:val="both"/>
              <w:rPr>
                <w:b/>
              </w:rPr>
            </w:pPr>
            <w:r w:rsidRPr="00CB1CD7">
              <w:rPr>
                <w:b/>
              </w:rPr>
              <w:t>Anforderung</w:t>
            </w:r>
          </w:p>
        </w:tc>
        <w:tc>
          <w:tcPr>
            <w:tcW w:w="1276" w:type="dxa"/>
            <w:shd w:val="clear" w:color="auto" w:fill="BFBFBF" w:themeFill="background1" w:themeFillShade="BF"/>
            <w:vAlign w:val="center"/>
          </w:tcPr>
          <w:p w14:paraId="532C022A" w14:textId="77777777" w:rsidR="008D3EF2" w:rsidRPr="00CB1CD7" w:rsidRDefault="008D3EF2" w:rsidP="008D3EF2">
            <w:pPr>
              <w:jc w:val="center"/>
              <w:rPr>
                <w:b/>
              </w:rPr>
            </w:pPr>
            <w:r w:rsidRPr="00CB1CD7">
              <w:rPr>
                <w:b/>
              </w:rPr>
              <w:t>Rechtsquelle</w:t>
            </w:r>
          </w:p>
        </w:tc>
        <w:tc>
          <w:tcPr>
            <w:tcW w:w="1134" w:type="dxa"/>
            <w:gridSpan w:val="2"/>
            <w:shd w:val="clear" w:color="auto" w:fill="BFBFBF" w:themeFill="background1" w:themeFillShade="BF"/>
            <w:vAlign w:val="center"/>
          </w:tcPr>
          <w:p w14:paraId="625043A6" w14:textId="60DBB09B" w:rsidR="008D3EF2" w:rsidRPr="00861D90" w:rsidRDefault="008D3EF2" w:rsidP="008D3EF2">
            <w:pPr>
              <w:jc w:val="center"/>
              <w:rPr>
                <w:b/>
              </w:rPr>
            </w:pPr>
            <w:r>
              <w:rPr>
                <w:b/>
              </w:rPr>
              <w:t>Er</w:t>
            </w:r>
            <w:r w:rsidRPr="00CB1CD7">
              <w:rPr>
                <w:b/>
              </w:rPr>
              <w:t>füllt?</w:t>
            </w:r>
          </w:p>
        </w:tc>
        <w:tc>
          <w:tcPr>
            <w:tcW w:w="3686" w:type="dxa"/>
            <w:shd w:val="clear" w:color="auto" w:fill="BFBFBF" w:themeFill="background1" w:themeFillShade="BF"/>
            <w:vAlign w:val="center"/>
          </w:tcPr>
          <w:p w14:paraId="155EC7A8" w14:textId="77777777" w:rsidR="008D3EF2" w:rsidRPr="00861D90" w:rsidRDefault="008D3EF2" w:rsidP="008D3EF2">
            <w:pPr>
              <w:jc w:val="center"/>
              <w:rPr>
                <w:b/>
              </w:rPr>
            </w:pPr>
            <w:r>
              <w:rPr>
                <w:b/>
              </w:rPr>
              <w:t>Bemerkungen, Maßnahmen</w:t>
            </w:r>
          </w:p>
        </w:tc>
      </w:tr>
      <w:tr w:rsidR="008D3EF2" w:rsidRPr="00CB1CD7" w14:paraId="2968D657" w14:textId="77777777" w:rsidTr="008D3EF2">
        <w:trPr>
          <w:cantSplit/>
          <w:trHeight w:val="1134"/>
          <w:tblHeader/>
        </w:trPr>
        <w:tc>
          <w:tcPr>
            <w:tcW w:w="2235" w:type="dxa"/>
            <w:shd w:val="clear" w:color="auto" w:fill="BFBFBF" w:themeFill="background1" w:themeFillShade="BF"/>
            <w:vAlign w:val="center"/>
          </w:tcPr>
          <w:p w14:paraId="5285F43B" w14:textId="77777777" w:rsidR="008D3EF2" w:rsidRPr="00CB1CD7" w:rsidRDefault="008D3EF2" w:rsidP="008D3EF2">
            <w:pPr>
              <w:jc w:val="center"/>
              <w:rPr>
                <w:b/>
              </w:rPr>
            </w:pPr>
          </w:p>
        </w:tc>
        <w:tc>
          <w:tcPr>
            <w:tcW w:w="5811" w:type="dxa"/>
            <w:shd w:val="clear" w:color="auto" w:fill="BFBFBF" w:themeFill="background1" w:themeFillShade="BF"/>
            <w:vAlign w:val="center"/>
          </w:tcPr>
          <w:p w14:paraId="77F76202" w14:textId="77777777" w:rsidR="008D3EF2" w:rsidRPr="00CB1CD7" w:rsidRDefault="008D3EF2" w:rsidP="008D3EF2">
            <w:pPr>
              <w:jc w:val="both"/>
              <w:rPr>
                <w:b/>
              </w:rPr>
            </w:pPr>
          </w:p>
        </w:tc>
        <w:tc>
          <w:tcPr>
            <w:tcW w:w="1276" w:type="dxa"/>
            <w:shd w:val="clear" w:color="auto" w:fill="BFBFBF" w:themeFill="background1" w:themeFillShade="BF"/>
            <w:vAlign w:val="center"/>
          </w:tcPr>
          <w:p w14:paraId="6877DA1D" w14:textId="77777777" w:rsidR="008D3EF2" w:rsidRPr="00CB1CD7" w:rsidRDefault="008D3EF2" w:rsidP="008D3EF2">
            <w:pPr>
              <w:jc w:val="center"/>
              <w:rPr>
                <w:b/>
              </w:rPr>
            </w:pPr>
          </w:p>
        </w:tc>
        <w:tc>
          <w:tcPr>
            <w:tcW w:w="567" w:type="dxa"/>
            <w:shd w:val="clear" w:color="auto" w:fill="BFBFBF" w:themeFill="background1" w:themeFillShade="BF"/>
            <w:textDirection w:val="tbRl"/>
            <w:vAlign w:val="center"/>
          </w:tcPr>
          <w:p w14:paraId="58F7803F" w14:textId="77777777" w:rsidR="008D3EF2" w:rsidRPr="007E64E9" w:rsidRDefault="008D3EF2" w:rsidP="008D3EF2">
            <w:pPr>
              <w:ind w:left="113" w:right="113"/>
              <w:jc w:val="center"/>
              <w:rPr>
                <w:b/>
                <w:sz w:val="20"/>
                <w:szCs w:val="20"/>
              </w:rPr>
            </w:pPr>
            <w:r w:rsidRPr="007E64E9">
              <w:rPr>
                <w:b/>
                <w:sz w:val="20"/>
                <w:szCs w:val="20"/>
              </w:rPr>
              <w:t>Ja</w:t>
            </w:r>
          </w:p>
        </w:tc>
        <w:tc>
          <w:tcPr>
            <w:tcW w:w="567" w:type="dxa"/>
            <w:shd w:val="clear" w:color="auto" w:fill="BFBFBF" w:themeFill="background1" w:themeFillShade="BF"/>
            <w:textDirection w:val="tbRl"/>
            <w:vAlign w:val="center"/>
          </w:tcPr>
          <w:p w14:paraId="29FFD870" w14:textId="77777777" w:rsidR="008D3EF2" w:rsidRPr="007E64E9" w:rsidRDefault="008D3EF2" w:rsidP="008D3EF2">
            <w:pPr>
              <w:ind w:left="113" w:right="113"/>
              <w:jc w:val="center"/>
              <w:rPr>
                <w:b/>
                <w:sz w:val="20"/>
                <w:szCs w:val="20"/>
              </w:rPr>
            </w:pPr>
            <w:r w:rsidRPr="007E64E9">
              <w:rPr>
                <w:b/>
                <w:sz w:val="20"/>
                <w:szCs w:val="20"/>
              </w:rPr>
              <w:t>Nein</w:t>
            </w:r>
          </w:p>
        </w:tc>
        <w:tc>
          <w:tcPr>
            <w:tcW w:w="3686" w:type="dxa"/>
            <w:shd w:val="clear" w:color="auto" w:fill="BFBFBF" w:themeFill="background1" w:themeFillShade="BF"/>
            <w:vAlign w:val="center"/>
          </w:tcPr>
          <w:p w14:paraId="5F71BCE7" w14:textId="77777777" w:rsidR="008D3EF2" w:rsidRPr="00861D90" w:rsidRDefault="008D3EF2" w:rsidP="008D3EF2">
            <w:pPr>
              <w:jc w:val="center"/>
              <w:rPr>
                <w:b/>
              </w:rPr>
            </w:pPr>
          </w:p>
        </w:tc>
      </w:tr>
      <w:tr w:rsidR="008D3EF2" w:rsidRPr="00CB1CD7" w14:paraId="5D910F14" w14:textId="77777777" w:rsidTr="008D3EF2">
        <w:tc>
          <w:tcPr>
            <w:tcW w:w="9322" w:type="dxa"/>
            <w:gridSpan w:val="3"/>
            <w:shd w:val="clear" w:color="auto" w:fill="D9D9D9" w:themeFill="background1" w:themeFillShade="D9"/>
          </w:tcPr>
          <w:p w14:paraId="08CD3F31" w14:textId="77777777" w:rsidR="008D3EF2" w:rsidRPr="0068096F" w:rsidRDefault="008D3EF2" w:rsidP="008D3EF2">
            <w:pPr>
              <w:jc w:val="both"/>
              <w:rPr>
                <w:b/>
              </w:rPr>
            </w:pPr>
            <w:r>
              <w:rPr>
                <w:b/>
              </w:rPr>
              <w:t>Allgemein:</w:t>
            </w:r>
          </w:p>
        </w:tc>
        <w:tc>
          <w:tcPr>
            <w:tcW w:w="567" w:type="dxa"/>
            <w:shd w:val="clear" w:color="auto" w:fill="D9D9D9" w:themeFill="background1" w:themeFillShade="D9"/>
          </w:tcPr>
          <w:p w14:paraId="44FDEF8D" w14:textId="77777777" w:rsidR="008D3EF2" w:rsidRPr="0068096F" w:rsidRDefault="008D3EF2" w:rsidP="008D3EF2">
            <w:pPr>
              <w:jc w:val="both"/>
              <w:rPr>
                <w:b/>
              </w:rPr>
            </w:pPr>
          </w:p>
        </w:tc>
        <w:tc>
          <w:tcPr>
            <w:tcW w:w="567" w:type="dxa"/>
            <w:shd w:val="clear" w:color="auto" w:fill="D9D9D9" w:themeFill="background1" w:themeFillShade="D9"/>
          </w:tcPr>
          <w:p w14:paraId="5CDBC944" w14:textId="77777777" w:rsidR="008D3EF2" w:rsidRPr="0068096F" w:rsidRDefault="008D3EF2" w:rsidP="008D3EF2">
            <w:pPr>
              <w:jc w:val="both"/>
              <w:rPr>
                <w:b/>
              </w:rPr>
            </w:pPr>
          </w:p>
        </w:tc>
        <w:tc>
          <w:tcPr>
            <w:tcW w:w="3686" w:type="dxa"/>
            <w:shd w:val="clear" w:color="auto" w:fill="D9D9D9" w:themeFill="background1" w:themeFillShade="D9"/>
          </w:tcPr>
          <w:p w14:paraId="35F39B14" w14:textId="5D7C68CC" w:rsidR="008D3EF2" w:rsidRPr="0068096F" w:rsidRDefault="008D3EF2" w:rsidP="008D3EF2">
            <w:pPr>
              <w:jc w:val="both"/>
              <w:rPr>
                <w:b/>
              </w:rPr>
            </w:pPr>
          </w:p>
        </w:tc>
      </w:tr>
      <w:tr w:rsidR="008D3EF2" w:rsidRPr="00CB1CD7" w14:paraId="7E483EDB" w14:textId="77777777" w:rsidTr="008D3EF2">
        <w:tc>
          <w:tcPr>
            <w:tcW w:w="9322" w:type="dxa"/>
            <w:gridSpan w:val="3"/>
          </w:tcPr>
          <w:p w14:paraId="20FC50AD" w14:textId="77777777" w:rsidR="008D3EF2" w:rsidRPr="00501A59" w:rsidRDefault="008D3EF2" w:rsidP="008D3EF2">
            <w:pPr>
              <w:keepNext/>
              <w:keepLines/>
              <w:rPr>
                <w:rFonts w:cstheme="minorHAnsi"/>
                <w:b/>
              </w:rPr>
            </w:pPr>
            <w:r w:rsidRPr="00501A59">
              <w:rPr>
                <w:rFonts w:cstheme="minorHAnsi"/>
                <w:b/>
              </w:rPr>
              <w:t>Verzeichnis der Beschäftigten:</w:t>
            </w:r>
          </w:p>
          <w:p w14:paraId="0AAFD198" w14:textId="77777777" w:rsidR="008D3EF2" w:rsidRPr="0053261D" w:rsidRDefault="008D3EF2" w:rsidP="008D3EF2">
            <w:pPr>
              <w:keepNext/>
              <w:keepLines/>
              <w:rPr>
                <w:rFonts w:cstheme="minorHAnsi"/>
              </w:rPr>
            </w:pPr>
            <w:r>
              <w:rPr>
                <w:rFonts w:cstheme="minorHAnsi"/>
              </w:rPr>
              <w:t>Der</w:t>
            </w:r>
            <w:r w:rsidRPr="0053261D">
              <w:rPr>
                <w:rFonts w:cstheme="minorHAnsi"/>
              </w:rPr>
              <w:t xml:space="preserve"> Arbeitgeber </w:t>
            </w:r>
            <w:r>
              <w:rPr>
                <w:rFonts w:cstheme="minorHAnsi"/>
              </w:rPr>
              <w:t xml:space="preserve">hat </w:t>
            </w:r>
            <w:r w:rsidRPr="0053261D">
              <w:rPr>
                <w:rFonts w:cstheme="minorHAnsi"/>
              </w:rPr>
              <w:t xml:space="preserve">ein </w:t>
            </w:r>
            <w:r w:rsidRPr="00501A59">
              <w:rPr>
                <w:rFonts w:cstheme="minorHAnsi"/>
              </w:rPr>
              <w:t>Verzeichnis über die Be</w:t>
            </w:r>
            <w:r>
              <w:rPr>
                <w:rFonts w:cstheme="minorHAnsi"/>
              </w:rPr>
              <w:t>schäftigten zu führen, die die</w:t>
            </w:r>
            <w:r w:rsidRPr="00501A59">
              <w:rPr>
                <w:rFonts w:cstheme="minorHAnsi"/>
              </w:rPr>
              <w:t xml:space="preserve"> Tätigkeiten ausüben. In dem Verzeichn</w:t>
            </w:r>
            <w:r w:rsidRPr="0053261D">
              <w:rPr>
                <w:rFonts w:cstheme="minorHAnsi"/>
              </w:rPr>
              <w:t>is sind die Art der Tätigkeiten und die vorkommenden</w:t>
            </w:r>
            <w:r>
              <w:rPr>
                <w:rFonts w:cstheme="minorHAnsi"/>
              </w:rPr>
              <w:t xml:space="preserve"> </w:t>
            </w:r>
            <w:r w:rsidRPr="0053261D">
              <w:rPr>
                <w:rFonts w:cstheme="minorHAnsi"/>
              </w:rPr>
              <w:t>Biostoffe sowie aufgetretene Unfälle und Betriebsstörungen anzugeben. Es ist personenbezogen für den</w:t>
            </w:r>
            <w:r>
              <w:rPr>
                <w:rFonts w:cstheme="minorHAnsi"/>
              </w:rPr>
              <w:t xml:space="preserve"> </w:t>
            </w:r>
            <w:r w:rsidRPr="0053261D">
              <w:rPr>
                <w:rFonts w:cstheme="minorHAnsi"/>
              </w:rPr>
              <w:t>Zeitraum von mindestens zehn Jahren nach Beendigung der Tätigkeit aufzubewahren. Der Arbeitgeber hat</w:t>
            </w:r>
          </w:p>
          <w:p w14:paraId="16087868" w14:textId="77777777" w:rsidR="008D3EF2" w:rsidRPr="0053261D" w:rsidRDefault="008D3EF2" w:rsidP="008D3EF2">
            <w:pPr>
              <w:keepNext/>
              <w:keepLines/>
              <w:rPr>
                <w:rFonts w:cstheme="minorHAnsi"/>
              </w:rPr>
            </w:pPr>
            <w:r w:rsidRPr="0053261D">
              <w:rPr>
                <w:rFonts w:cstheme="minorHAnsi"/>
              </w:rPr>
              <w:t>1. den Beschäftigten die sie betreffenden Angaben in dem Verzeichnis zugänglich zu machen; der Schutz der</w:t>
            </w:r>
            <w:r>
              <w:rPr>
                <w:rFonts w:cstheme="minorHAnsi"/>
              </w:rPr>
              <w:t xml:space="preserve"> </w:t>
            </w:r>
            <w:r w:rsidRPr="0053261D">
              <w:rPr>
                <w:rFonts w:cstheme="minorHAnsi"/>
              </w:rPr>
              <w:t>personenbezogenen Daten ist zu gewährleisten,</w:t>
            </w:r>
          </w:p>
          <w:p w14:paraId="5DFFEC7F" w14:textId="77777777" w:rsidR="008D3EF2" w:rsidRPr="0053261D" w:rsidRDefault="008D3EF2" w:rsidP="008D3EF2">
            <w:pPr>
              <w:keepNext/>
              <w:keepLines/>
              <w:rPr>
                <w:rFonts w:cstheme="minorHAnsi"/>
              </w:rPr>
            </w:pPr>
            <w:r w:rsidRPr="0053261D">
              <w:rPr>
                <w:rFonts w:cstheme="minorHAnsi"/>
              </w:rPr>
              <w:t>2. bei Beendigung des Beschäftigungsverhältnisses dem Beschäftigten einen Auszug über die ihn betreffenden</w:t>
            </w:r>
            <w:r>
              <w:rPr>
                <w:rFonts w:cstheme="minorHAnsi"/>
              </w:rPr>
              <w:t xml:space="preserve"> </w:t>
            </w:r>
            <w:r w:rsidRPr="0053261D">
              <w:rPr>
                <w:rFonts w:cstheme="minorHAnsi"/>
              </w:rPr>
              <w:t xml:space="preserve">Angaben des Verzeichnisses auszuhändigen; der Nachweis über die Aushändigung ist vom </w:t>
            </w:r>
            <w:r w:rsidRPr="0053261D">
              <w:rPr>
                <w:rFonts w:cstheme="minorHAnsi"/>
              </w:rPr>
              <w:lastRenderedPageBreak/>
              <w:t>Arbeitgeber wie</w:t>
            </w:r>
            <w:r>
              <w:rPr>
                <w:rFonts w:cstheme="minorHAnsi"/>
              </w:rPr>
              <w:t xml:space="preserve"> </w:t>
            </w:r>
            <w:r w:rsidRPr="0053261D">
              <w:rPr>
                <w:rFonts w:cstheme="minorHAnsi"/>
              </w:rPr>
              <w:t>Personalunterlagen aufzubewahren.</w:t>
            </w:r>
          </w:p>
          <w:p w14:paraId="3E209F40" w14:textId="77777777" w:rsidR="008D3EF2" w:rsidRDefault="008D3EF2" w:rsidP="008D3EF2">
            <w:r w:rsidRPr="0053261D">
              <w:rPr>
                <w:rFonts w:cstheme="minorHAnsi"/>
              </w:rPr>
              <w:t>Das Verzeichnis über die Beschäftigten kann zusammen mit dem Biostoffverzeichnis nach Absatz 2 geführt</w:t>
            </w:r>
            <w:r>
              <w:rPr>
                <w:rFonts w:cstheme="minorHAnsi"/>
              </w:rPr>
              <w:t xml:space="preserve"> </w:t>
            </w:r>
            <w:r w:rsidRPr="0053261D">
              <w:rPr>
                <w:rFonts w:cstheme="minorHAnsi"/>
              </w:rPr>
              <w:t>werden.</w:t>
            </w:r>
          </w:p>
        </w:tc>
        <w:sdt>
          <w:sdtPr>
            <w:id w:val="1905336756"/>
            <w14:checkbox>
              <w14:checked w14:val="0"/>
              <w14:checkedState w14:val="2612" w14:font="MS Gothic"/>
              <w14:uncheckedState w14:val="2610" w14:font="MS Gothic"/>
            </w14:checkbox>
          </w:sdtPr>
          <w:sdtContent>
            <w:tc>
              <w:tcPr>
                <w:tcW w:w="567" w:type="dxa"/>
                <w:vAlign w:val="center"/>
              </w:tcPr>
              <w:p w14:paraId="048A2F4C" w14:textId="77777777" w:rsidR="008D3EF2" w:rsidRDefault="008D3EF2" w:rsidP="008D3EF2">
                <w:pPr>
                  <w:jc w:val="center"/>
                </w:pPr>
                <w:r>
                  <w:rPr>
                    <w:rFonts w:ascii="MS Gothic" w:eastAsia="MS Gothic" w:hAnsi="MS Gothic" w:hint="eastAsia"/>
                  </w:rPr>
                  <w:t>☐</w:t>
                </w:r>
              </w:p>
            </w:tc>
          </w:sdtContent>
        </w:sdt>
        <w:sdt>
          <w:sdtPr>
            <w:id w:val="1440479093"/>
            <w14:checkbox>
              <w14:checked w14:val="0"/>
              <w14:checkedState w14:val="2612" w14:font="MS Gothic"/>
              <w14:uncheckedState w14:val="2610" w14:font="MS Gothic"/>
            </w14:checkbox>
          </w:sdtPr>
          <w:sdtContent>
            <w:tc>
              <w:tcPr>
                <w:tcW w:w="567" w:type="dxa"/>
                <w:vAlign w:val="center"/>
              </w:tcPr>
              <w:p w14:paraId="4445304E" w14:textId="77777777" w:rsidR="008D3EF2" w:rsidRDefault="008D3EF2" w:rsidP="008D3EF2">
                <w:pPr>
                  <w:jc w:val="center"/>
                </w:pPr>
                <w:r>
                  <w:rPr>
                    <w:rFonts w:ascii="MS Gothic" w:eastAsia="MS Gothic" w:hAnsi="MS Gothic" w:hint="eastAsia"/>
                  </w:rPr>
                  <w:t>☐</w:t>
                </w:r>
              </w:p>
            </w:tc>
          </w:sdtContent>
        </w:sdt>
        <w:tc>
          <w:tcPr>
            <w:tcW w:w="3686" w:type="dxa"/>
          </w:tcPr>
          <w:p w14:paraId="15732B13" w14:textId="77777777" w:rsidR="008D3EF2" w:rsidRDefault="008D3EF2" w:rsidP="008D3EF2">
            <w:pPr>
              <w:jc w:val="center"/>
            </w:pPr>
          </w:p>
        </w:tc>
      </w:tr>
      <w:tr w:rsidR="008D3EF2" w:rsidRPr="00CB1CD7" w14:paraId="0667C4C3" w14:textId="77777777" w:rsidTr="008D3EF2">
        <w:tc>
          <w:tcPr>
            <w:tcW w:w="9322" w:type="dxa"/>
            <w:gridSpan w:val="3"/>
            <w:shd w:val="clear" w:color="auto" w:fill="D9D9D9" w:themeFill="background1" w:themeFillShade="D9"/>
          </w:tcPr>
          <w:p w14:paraId="675B9D5D" w14:textId="77777777" w:rsidR="008D3EF2" w:rsidRPr="00CB1CD7" w:rsidRDefault="008D3EF2" w:rsidP="008D3EF2">
            <w:pPr>
              <w:pStyle w:val="Listenabsatz"/>
              <w:numPr>
                <w:ilvl w:val="0"/>
                <w:numId w:val="40"/>
              </w:numPr>
              <w:ind w:left="426"/>
              <w:jc w:val="both"/>
              <w:rPr>
                <w:b/>
              </w:rPr>
            </w:pPr>
            <w:r w:rsidRPr="00CB1CD7">
              <w:rPr>
                <w:b/>
              </w:rPr>
              <w:t>Kennzeichnung/Zutritt</w:t>
            </w:r>
          </w:p>
        </w:tc>
        <w:tc>
          <w:tcPr>
            <w:tcW w:w="567" w:type="dxa"/>
            <w:shd w:val="clear" w:color="auto" w:fill="D9D9D9" w:themeFill="background1" w:themeFillShade="D9"/>
          </w:tcPr>
          <w:p w14:paraId="40B0D76B" w14:textId="77777777" w:rsidR="008D3EF2" w:rsidRPr="00CB1CD7" w:rsidRDefault="008D3EF2" w:rsidP="008D3EF2">
            <w:pPr>
              <w:pStyle w:val="Listenabsatz"/>
              <w:ind w:left="426"/>
              <w:jc w:val="both"/>
              <w:rPr>
                <w:b/>
              </w:rPr>
            </w:pPr>
          </w:p>
        </w:tc>
        <w:tc>
          <w:tcPr>
            <w:tcW w:w="567" w:type="dxa"/>
            <w:shd w:val="clear" w:color="auto" w:fill="D9D9D9" w:themeFill="background1" w:themeFillShade="D9"/>
          </w:tcPr>
          <w:p w14:paraId="5B450D85" w14:textId="77777777" w:rsidR="008D3EF2" w:rsidRPr="00CB1CD7" w:rsidRDefault="008D3EF2" w:rsidP="008D3EF2">
            <w:pPr>
              <w:pStyle w:val="Listenabsatz"/>
              <w:ind w:left="426"/>
              <w:jc w:val="both"/>
              <w:rPr>
                <w:b/>
              </w:rPr>
            </w:pPr>
          </w:p>
        </w:tc>
        <w:tc>
          <w:tcPr>
            <w:tcW w:w="3686" w:type="dxa"/>
            <w:shd w:val="clear" w:color="auto" w:fill="D9D9D9" w:themeFill="background1" w:themeFillShade="D9"/>
          </w:tcPr>
          <w:p w14:paraId="34A05849" w14:textId="711FADCE" w:rsidR="008D3EF2" w:rsidRPr="00CB1CD7" w:rsidRDefault="008D3EF2" w:rsidP="008D3EF2">
            <w:pPr>
              <w:pStyle w:val="Listenabsatz"/>
              <w:ind w:left="426"/>
              <w:jc w:val="both"/>
              <w:rPr>
                <w:b/>
              </w:rPr>
            </w:pPr>
          </w:p>
        </w:tc>
      </w:tr>
      <w:tr w:rsidR="008D3EF2" w:rsidRPr="00CB1CD7" w14:paraId="462EB57B" w14:textId="77777777" w:rsidTr="008D3EF2">
        <w:tc>
          <w:tcPr>
            <w:tcW w:w="2235" w:type="dxa"/>
          </w:tcPr>
          <w:p w14:paraId="55F410F4" w14:textId="77777777" w:rsidR="008D3EF2" w:rsidRPr="00CB1CD7" w:rsidRDefault="008D3EF2" w:rsidP="008D3EF2">
            <w:pPr>
              <w:pStyle w:val="Listenabsatz"/>
              <w:numPr>
                <w:ilvl w:val="1"/>
                <w:numId w:val="40"/>
              </w:numPr>
              <w:ind w:left="567"/>
            </w:pPr>
            <w:r w:rsidRPr="00CB1CD7">
              <w:t>Kennzeichnung der Räume</w:t>
            </w:r>
          </w:p>
        </w:tc>
        <w:tc>
          <w:tcPr>
            <w:tcW w:w="5811" w:type="dxa"/>
          </w:tcPr>
          <w:p w14:paraId="0F3B4F9D" w14:textId="77777777" w:rsidR="008D3EF2" w:rsidRPr="00CB1CD7" w:rsidRDefault="008D3EF2" w:rsidP="008D3EF2">
            <w:pPr>
              <w:jc w:val="both"/>
            </w:pPr>
            <w:r>
              <w:t xml:space="preserve">Die Zugangstür zum Schutzstufenbereich muss neben dem „Symbol für Biogefährdung“ von außen auch deutlich und dauerhaft mit der Angabe „Schutzstufe 3, eingeschränkt auf biologische Arbeitsstoffe der Risikogruppe 3(**)“ und einem Hinweis auf die </w:t>
            </w:r>
            <w:r w:rsidRPr="00DC67E8">
              <w:rPr>
                <w:u w:val="single"/>
              </w:rPr>
              <w:t>Zugangsbeschränkung</w:t>
            </w:r>
            <w:r>
              <w:t xml:space="preserve"> gekennzeichnet sein. </w:t>
            </w:r>
            <w:r w:rsidRPr="00CB1CD7">
              <w:t xml:space="preserve">Zusätzlich </w:t>
            </w:r>
            <w:r>
              <w:t xml:space="preserve">ist </w:t>
            </w:r>
            <w:r w:rsidRPr="00CB1CD7">
              <w:t>das Feuerweh</w:t>
            </w:r>
            <w:r>
              <w:t>rgefahrengruppenschild „BIO III“ anzubringen.</w:t>
            </w:r>
          </w:p>
        </w:tc>
        <w:tc>
          <w:tcPr>
            <w:tcW w:w="1276" w:type="dxa"/>
          </w:tcPr>
          <w:p w14:paraId="7169EDE2" w14:textId="77777777" w:rsidR="008D3EF2" w:rsidRPr="00CB1CD7" w:rsidRDefault="008D3EF2" w:rsidP="008D3EF2">
            <w:r w:rsidRPr="00CB1CD7">
              <w:t>TRBA 100, 5.</w:t>
            </w:r>
            <w:r>
              <w:t>4.1</w:t>
            </w:r>
            <w:r w:rsidRPr="00CB1CD7">
              <w:t xml:space="preserve"> (</w:t>
            </w:r>
            <w:r>
              <w:t>5</w:t>
            </w:r>
            <w:r w:rsidRPr="00CB1CD7">
              <w:t>); FwDV 500</w:t>
            </w:r>
          </w:p>
        </w:tc>
        <w:sdt>
          <w:sdtPr>
            <w:id w:val="-188989241"/>
            <w14:checkbox>
              <w14:checked w14:val="0"/>
              <w14:checkedState w14:val="2612" w14:font="MS Gothic"/>
              <w14:uncheckedState w14:val="2610" w14:font="MS Gothic"/>
            </w14:checkbox>
          </w:sdtPr>
          <w:sdtContent>
            <w:tc>
              <w:tcPr>
                <w:tcW w:w="567" w:type="dxa"/>
                <w:vAlign w:val="center"/>
              </w:tcPr>
              <w:p w14:paraId="07D7EB9E" w14:textId="2E300DBD" w:rsidR="008D3EF2" w:rsidRPr="00CB1CD7" w:rsidRDefault="008D3EF2" w:rsidP="008D3EF2">
                <w:pPr>
                  <w:jc w:val="center"/>
                </w:pPr>
                <w:r>
                  <w:rPr>
                    <w:rFonts w:ascii="MS Gothic" w:eastAsia="MS Gothic" w:hAnsi="MS Gothic" w:hint="eastAsia"/>
                  </w:rPr>
                  <w:t>☐</w:t>
                </w:r>
              </w:p>
            </w:tc>
          </w:sdtContent>
        </w:sdt>
        <w:sdt>
          <w:sdtPr>
            <w:id w:val="1834033259"/>
            <w14:checkbox>
              <w14:checked w14:val="0"/>
              <w14:checkedState w14:val="2612" w14:font="MS Gothic"/>
              <w14:uncheckedState w14:val="2610" w14:font="MS Gothic"/>
            </w14:checkbox>
          </w:sdtPr>
          <w:sdtContent>
            <w:tc>
              <w:tcPr>
                <w:tcW w:w="567" w:type="dxa"/>
                <w:vAlign w:val="center"/>
              </w:tcPr>
              <w:p w14:paraId="0176D143" w14:textId="77777777" w:rsidR="008D3EF2" w:rsidRDefault="008D3EF2" w:rsidP="008D3EF2">
                <w:pPr>
                  <w:jc w:val="center"/>
                </w:pPr>
                <w:r>
                  <w:rPr>
                    <w:rFonts w:ascii="MS Gothic" w:eastAsia="MS Gothic" w:hAnsi="MS Gothic" w:hint="eastAsia"/>
                  </w:rPr>
                  <w:t>☐</w:t>
                </w:r>
              </w:p>
            </w:tc>
          </w:sdtContent>
        </w:sdt>
        <w:tc>
          <w:tcPr>
            <w:tcW w:w="3686" w:type="dxa"/>
          </w:tcPr>
          <w:p w14:paraId="1FA98A63" w14:textId="77777777" w:rsidR="008D3EF2" w:rsidRDefault="008D3EF2" w:rsidP="008D3EF2">
            <w:pPr>
              <w:jc w:val="center"/>
            </w:pPr>
          </w:p>
        </w:tc>
      </w:tr>
      <w:tr w:rsidR="008D3EF2" w:rsidRPr="00CB1CD7" w14:paraId="7F4187AD" w14:textId="77777777" w:rsidTr="008D3EF2">
        <w:tc>
          <w:tcPr>
            <w:tcW w:w="2235" w:type="dxa"/>
          </w:tcPr>
          <w:p w14:paraId="08F50E66" w14:textId="77777777" w:rsidR="008D3EF2" w:rsidRPr="00CB1CD7" w:rsidRDefault="008D3EF2" w:rsidP="008D3EF2">
            <w:pPr>
              <w:pStyle w:val="Listenabsatz"/>
              <w:numPr>
                <w:ilvl w:val="1"/>
                <w:numId w:val="40"/>
              </w:numPr>
              <w:ind w:left="567"/>
            </w:pPr>
            <w:r w:rsidRPr="00CB1CD7">
              <w:t>Zutritts-beschränkung</w:t>
            </w:r>
          </w:p>
        </w:tc>
        <w:tc>
          <w:tcPr>
            <w:tcW w:w="5811" w:type="dxa"/>
          </w:tcPr>
          <w:p w14:paraId="3C3602F2" w14:textId="77777777" w:rsidR="008D3EF2" w:rsidRPr="00CE2C94" w:rsidRDefault="008D3EF2" w:rsidP="008D3EF2">
            <w:pPr>
              <w:jc w:val="both"/>
              <w:rPr>
                <w:sz w:val="18"/>
                <w:szCs w:val="18"/>
              </w:rPr>
            </w:pPr>
            <w:r>
              <w:t>Der Zugang zum Schutzstufenbereich ist vom Verantwortlichen auf die Personen zu beschränken, die für die Durchführung der Tätigkeiten erforderlich sind. Eine Zugangskontrolle ist notwendig. In begründeten Einzelfällen genehmigt der Verantwortliche den Zugang anderer Personen (z.B. Servicepersonal) unter fachkundiger Aufsicht.</w:t>
            </w:r>
          </w:p>
        </w:tc>
        <w:tc>
          <w:tcPr>
            <w:tcW w:w="1276" w:type="dxa"/>
          </w:tcPr>
          <w:p w14:paraId="7F1BD7F9" w14:textId="77777777" w:rsidR="008D3EF2" w:rsidRPr="00CB1CD7" w:rsidRDefault="008D3EF2" w:rsidP="008D3EF2">
            <w:r>
              <w:t>TRBA 100, 5.4.1 (6)</w:t>
            </w:r>
          </w:p>
        </w:tc>
        <w:sdt>
          <w:sdtPr>
            <w:id w:val="440813327"/>
            <w14:checkbox>
              <w14:checked w14:val="0"/>
              <w14:checkedState w14:val="2612" w14:font="MS Gothic"/>
              <w14:uncheckedState w14:val="2610" w14:font="MS Gothic"/>
            </w14:checkbox>
          </w:sdtPr>
          <w:sdtContent>
            <w:tc>
              <w:tcPr>
                <w:tcW w:w="567" w:type="dxa"/>
                <w:vAlign w:val="center"/>
              </w:tcPr>
              <w:p w14:paraId="6A397865" w14:textId="77777777" w:rsidR="008D3EF2" w:rsidRPr="00CB1CD7" w:rsidRDefault="008D3EF2" w:rsidP="008D3EF2">
                <w:pPr>
                  <w:jc w:val="center"/>
                </w:pPr>
                <w:r w:rsidRPr="00CB1CD7">
                  <w:rPr>
                    <w:rFonts w:ascii="MS Gothic" w:eastAsia="MS Gothic" w:hAnsi="MS Gothic" w:hint="eastAsia"/>
                  </w:rPr>
                  <w:t>☐</w:t>
                </w:r>
              </w:p>
            </w:tc>
          </w:sdtContent>
        </w:sdt>
        <w:sdt>
          <w:sdtPr>
            <w:id w:val="1539401036"/>
            <w14:checkbox>
              <w14:checked w14:val="0"/>
              <w14:checkedState w14:val="2612" w14:font="MS Gothic"/>
              <w14:uncheckedState w14:val="2610" w14:font="MS Gothic"/>
            </w14:checkbox>
          </w:sdtPr>
          <w:sdtContent>
            <w:tc>
              <w:tcPr>
                <w:tcW w:w="567" w:type="dxa"/>
                <w:vAlign w:val="center"/>
              </w:tcPr>
              <w:p w14:paraId="39CCAE28" w14:textId="77777777" w:rsidR="008D3EF2" w:rsidRDefault="008D3EF2" w:rsidP="008D3EF2">
                <w:pPr>
                  <w:jc w:val="center"/>
                </w:pPr>
                <w:r>
                  <w:rPr>
                    <w:rFonts w:ascii="MS Gothic" w:eastAsia="MS Gothic" w:hAnsi="MS Gothic" w:hint="eastAsia"/>
                  </w:rPr>
                  <w:t>☐</w:t>
                </w:r>
              </w:p>
            </w:tc>
          </w:sdtContent>
        </w:sdt>
        <w:tc>
          <w:tcPr>
            <w:tcW w:w="3686" w:type="dxa"/>
          </w:tcPr>
          <w:p w14:paraId="0CA70A44" w14:textId="77777777" w:rsidR="008D3EF2" w:rsidRDefault="008D3EF2" w:rsidP="008D3EF2">
            <w:pPr>
              <w:jc w:val="center"/>
            </w:pPr>
          </w:p>
        </w:tc>
      </w:tr>
      <w:tr w:rsidR="008D3EF2" w:rsidRPr="00CB1CD7" w14:paraId="402922F4" w14:textId="77777777" w:rsidTr="008D3EF2">
        <w:tc>
          <w:tcPr>
            <w:tcW w:w="9322" w:type="dxa"/>
            <w:gridSpan w:val="3"/>
            <w:shd w:val="clear" w:color="auto" w:fill="D9D9D9" w:themeFill="background1" w:themeFillShade="D9"/>
          </w:tcPr>
          <w:p w14:paraId="3E95C9BB" w14:textId="77777777" w:rsidR="008D3EF2" w:rsidRPr="00AD1F99" w:rsidRDefault="008D3EF2" w:rsidP="008D3EF2">
            <w:pPr>
              <w:pStyle w:val="Listenabsatz"/>
              <w:numPr>
                <w:ilvl w:val="0"/>
                <w:numId w:val="40"/>
              </w:numPr>
              <w:jc w:val="both"/>
              <w:rPr>
                <w:b/>
              </w:rPr>
            </w:pPr>
            <w:r w:rsidRPr="00AD1F99">
              <w:rPr>
                <w:b/>
              </w:rPr>
              <w:t>Bauliche/technische Schutzmaßnahmen</w:t>
            </w:r>
          </w:p>
        </w:tc>
        <w:tc>
          <w:tcPr>
            <w:tcW w:w="567" w:type="dxa"/>
            <w:shd w:val="clear" w:color="auto" w:fill="D9D9D9" w:themeFill="background1" w:themeFillShade="D9"/>
          </w:tcPr>
          <w:p w14:paraId="1368D258" w14:textId="77777777" w:rsidR="008D3EF2" w:rsidRPr="00AD1F99" w:rsidRDefault="008D3EF2" w:rsidP="008D3EF2">
            <w:pPr>
              <w:pStyle w:val="Listenabsatz"/>
              <w:ind w:left="360"/>
              <w:jc w:val="both"/>
              <w:rPr>
                <w:b/>
              </w:rPr>
            </w:pPr>
          </w:p>
        </w:tc>
        <w:tc>
          <w:tcPr>
            <w:tcW w:w="567" w:type="dxa"/>
            <w:shd w:val="clear" w:color="auto" w:fill="D9D9D9" w:themeFill="background1" w:themeFillShade="D9"/>
          </w:tcPr>
          <w:p w14:paraId="375A316B" w14:textId="77777777" w:rsidR="008D3EF2" w:rsidRPr="00AD1F99" w:rsidRDefault="008D3EF2" w:rsidP="008D3EF2">
            <w:pPr>
              <w:pStyle w:val="Listenabsatz"/>
              <w:ind w:left="360"/>
              <w:jc w:val="both"/>
              <w:rPr>
                <w:b/>
              </w:rPr>
            </w:pPr>
          </w:p>
        </w:tc>
        <w:tc>
          <w:tcPr>
            <w:tcW w:w="3686" w:type="dxa"/>
            <w:shd w:val="clear" w:color="auto" w:fill="D9D9D9" w:themeFill="background1" w:themeFillShade="D9"/>
          </w:tcPr>
          <w:p w14:paraId="0FFEE1CD" w14:textId="2B177950" w:rsidR="008D3EF2" w:rsidRPr="00AD1F99" w:rsidRDefault="008D3EF2" w:rsidP="008D3EF2">
            <w:pPr>
              <w:pStyle w:val="Listenabsatz"/>
              <w:ind w:left="360"/>
              <w:jc w:val="both"/>
              <w:rPr>
                <w:b/>
              </w:rPr>
            </w:pPr>
          </w:p>
        </w:tc>
      </w:tr>
      <w:tr w:rsidR="008D3EF2" w:rsidRPr="00CB1CD7" w14:paraId="0EEDBD6D" w14:textId="77777777" w:rsidTr="008D3EF2">
        <w:trPr>
          <w:trHeight w:val="1613"/>
        </w:trPr>
        <w:tc>
          <w:tcPr>
            <w:tcW w:w="2235" w:type="dxa"/>
            <w:vMerge w:val="restart"/>
          </w:tcPr>
          <w:p w14:paraId="052ECE4D" w14:textId="77777777" w:rsidR="008D3EF2" w:rsidRPr="00CB1CD7" w:rsidRDefault="008D3EF2" w:rsidP="008D3EF2">
            <w:pPr>
              <w:pStyle w:val="Listenabsatz"/>
              <w:numPr>
                <w:ilvl w:val="1"/>
                <w:numId w:val="40"/>
              </w:numPr>
            </w:pPr>
            <w:r>
              <w:t>Abwasser</w:t>
            </w:r>
          </w:p>
        </w:tc>
        <w:tc>
          <w:tcPr>
            <w:tcW w:w="5811" w:type="dxa"/>
          </w:tcPr>
          <w:p w14:paraId="6FAD0369" w14:textId="77777777" w:rsidR="008D3EF2" w:rsidRPr="00CB1CD7" w:rsidRDefault="008D3EF2" w:rsidP="008D3EF2">
            <w:pPr>
              <w:jc w:val="both"/>
            </w:pPr>
            <w:r>
              <w:t>Im Schutzstufenbereich anfallende Abwässer von Waschbecken und Duschen sind einer thermischen Nachbehandlung zu unterziehen. Alternativ können auch andere validierte Inaktivierungsverfahren eingesetzt werden</w:t>
            </w:r>
            <w:r w:rsidRPr="003842DF">
              <w:rPr>
                <w:u w:val="single"/>
              </w:rPr>
              <w:t>. Auf die Nachbehandlung kann verzichtet werden, wenn die Gefährdungsbeurteilung ergeben hat, dass außerhalb des Schutzstufenbereichs keine Gefährdung durch die anfallenden Abwässer gegeben ist.</w:t>
            </w:r>
            <w:r>
              <w:t xml:space="preserve"> </w:t>
            </w:r>
          </w:p>
        </w:tc>
        <w:tc>
          <w:tcPr>
            <w:tcW w:w="1276" w:type="dxa"/>
            <w:vMerge w:val="restart"/>
          </w:tcPr>
          <w:p w14:paraId="5B68D020" w14:textId="77777777" w:rsidR="008D3EF2" w:rsidRPr="00CB1CD7" w:rsidRDefault="008D3EF2" w:rsidP="008D3EF2">
            <w:r>
              <w:t>TRBA 100, 5.4.1 (1)</w:t>
            </w:r>
          </w:p>
        </w:tc>
        <w:sdt>
          <w:sdtPr>
            <w:id w:val="56669924"/>
            <w14:checkbox>
              <w14:checked w14:val="0"/>
              <w14:checkedState w14:val="2612" w14:font="MS Gothic"/>
              <w14:uncheckedState w14:val="2610" w14:font="MS Gothic"/>
            </w14:checkbox>
          </w:sdtPr>
          <w:sdtContent>
            <w:tc>
              <w:tcPr>
                <w:tcW w:w="567" w:type="dxa"/>
                <w:vAlign w:val="center"/>
              </w:tcPr>
              <w:p w14:paraId="5F053490" w14:textId="77777777" w:rsidR="008D3EF2" w:rsidRDefault="008D3EF2" w:rsidP="008D3EF2">
                <w:pPr>
                  <w:jc w:val="center"/>
                </w:pPr>
                <w:r>
                  <w:rPr>
                    <w:rFonts w:ascii="MS Gothic" w:eastAsia="MS Gothic" w:hAnsi="MS Gothic" w:hint="eastAsia"/>
                  </w:rPr>
                  <w:t>☐</w:t>
                </w:r>
              </w:p>
            </w:tc>
          </w:sdtContent>
        </w:sdt>
        <w:sdt>
          <w:sdtPr>
            <w:id w:val="-769238419"/>
            <w14:checkbox>
              <w14:checked w14:val="0"/>
              <w14:checkedState w14:val="2612" w14:font="MS Gothic"/>
              <w14:uncheckedState w14:val="2610" w14:font="MS Gothic"/>
            </w14:checkbox>
          </w:sdtPr>
          <w:sdtContent>
            <w:tc>
              <w:tcPr>
                <w:tcW w:w="567" w:type="dxa"/>
                <w:vAlign w:val="center"/>
              </w:tcPr>
              <w:p w14:paraId="65BE6974" w14:textId="77777777" w:rsidR="008D3EF2" w:rsidRDefault="008D3EF2" w:rsidP="008D3EF2">
                <w:pPr>
                  <w:jc w:val="center"/>
                </w:pPr>
                <w:r>
                  <w:rPr>
                    <w:rFonts w:ascii="MS Gothic" w:eastAsia="MS Gothic" w:hAnsi="MS Gothic" w:hint="eastAsia"/>
                  </w:rPr>
                  <w:t>☐</w:t>
                </w:r>
              </w:p>
            </w:tc>
          </w:sdtContent>
        </w:sdt>
        <w:tc>
          <w:tcPr>
            <w:tcW w:w="3686" w:type="dxa"/>
          </w:tcPr>
          <w:p w14:paraId="408D7C7E" w14:textId="77777777" w:rsidR="008D3EF2" w:rsidRDefault="008D3EF2" w:rsidP="008D3EF2">
            <w:pPr>
              <w:jc w:val="center"/>
            </w:pPr>
          </w:p>
        </w:tc>
      </w:tr>
      <w:tr w:rsidR="008D3EF2" w:rsidRPr="00CB1CD7" w14:paraId="45C98570" w14:textId="77777777" w:rsidTr="008D3EF2">
        <w:trPr>
          <w:trHeight w:val="1036"/>
        </w:trPr>
        <w:tc>
          <w:tcPr>
            <w:tcW w:w="2235" w:type="dxa"/>
            <w:vMerge/>
          </w:tcPr>
          <w:p w14:paraId="5188B54B" w14:textId="77777777" w:rsidR="008D3EF2" w:rsidRDefault="008D3EF2" w:rsidP="008D3EF2">
            <w:pPr>
              <w:pStyle w:val="Listenabsatz"/>
              <w:numPr>
                <w:ilvl w:val="1"/>
                <w:numId w:val="40"/>
              </w:numPr>
            </w:pPr>
          </w:p>
        </w:tc>
        <w:tc>
          <w:tcPr>
            <w:tcW w:w="5811" w:type="dxa"/>
          </w:tcPr>
          <w:p w14:paraId="049FEF04" w14:textId="77777777" w:rsidR="008D3EF2" w:rsidRDefault="008D3EF2" w:rsidP="008D3EF2">
            <w:pPr>
              <w:jc w:val="both"/>
            </w:pPr>
            <w:r>
              <w:t xml:space="preserve">Bei bestimmungsgemäßem Betrieb kann davon ausgegangen werden, dass das Abwasser des </w:t>
            </w:r>
            <w:r w:rsidRPr="001830A2">
              <w:rPr>
                <w:b/>
              </w:rPr>
              <w:t>Handwaschbeckens</w:t>
            </w:r>
            <w:r>
              <w:t xml:space="preserve"> nicht mit </w:t>
            </w:r>
            <w:r w:rsidRPr="001830A2">
              <w:t>biologischen Arbeitsstoffen kontaminiert ist und daher</w:t>
            </w:r>
            <w:r>
              <w:t xml:space="preserve"> nicht nachbehandelt werden muss.</w:t>
            </w:r>
          </w:p>
        </w:tc>
        <w:tc>
          <w:tcPr>
            <w:tcW w:w="1276" w:type="dxa"/>
            <w:vMerge/>
          </w:tcPr>
          <w:p w14:paraId="06A12E18" w14:textId="77777777" w:rsidR="008D3EF2" w:rsidRDefault="008D3EF2" w:rsidP="008D3EF2"/>
        </w:tc>
        <w:sdt>
          <w:sdtPr>
            <w:id w:val="-369225396"/>
            <w14:checkbox>
              <w14:checked w14:val="0"/>
              <w14:checkedState w14:val="2612" w14:font="MS Gothic"/>
              <w14:uncheckedState w14:val="2610" w14:font="MS Gothic"/>
            </w14:checkbox>
          </w:sdtPr>
          <w:sdtContent>
            <w:tc>
              <w:tcPr>
                <w:tcW w:w="567" w:type="dxa"/>
                <w:vAlign w:val="center"/>
              </w:tcPr>
              <w:p w14:paraId="707206B0" w14:textId="77777777" w:rsidR="008D3EF2" w:rsidRDefault="008D3EF2" w:rsidP="008D3EF2">
                <w:pPr>
                  <w:jc w:val="center"/>
                </w:pPr>
                <w:r>
                  <w:rPr>
                    <w:rFonts w:ascii="MS Gothic" w:eastAsia="MS Gothic" w:hAnsi="MS Gothic" w:hint="eastAsia"/>
                  </w:rPr>
                  <w:t>☐</w:t>
                </w:r>
              </w:p>
            </w:tc>
          </w:sdtContent>
        </w:sdt>
        <w:sdt>
          <w:sdtPr>
            <w:id w:val="-366067700"/>
            <w14:checkbox>
              <w14:checked w14:val="0"/>
              <w14:checkedState w14:val="2612" w14:font="MS Gothic"/>
              <w14:uncheckedState w14:val="2610" w14:font="MS Gothic"/>
            </w14:checkbox>
          </w:sdtPr>
          <w:sdtContent>
            <w:tc>
              <w:tcPr>
                <w:tcW w:w="567" w:type="dxa"/>
                <w:vAlign w:val="center"/>
              </w:tcPr>
              <w:p w14:paraId="61778213" w14:textId="77777777" w:rsidR="008D3EF2" w:rsidRDefault="008D3EF2" w:rsidP="008D3EF2">
                <w:pPr>
                  <w:jc w:val="center"/>
                </w:pPr>
                <w:r>
                  <w:rPr>
                    <w:rFonts w:ascii="MS Gothic" w:eastAsia="MS Gothic" w:hAnsi="MS Gothic" w:hint="eastAsia"/>
                  </w:rPr>
                  <w:t>☐</w:t>
                </w:r>
              </w:p>
            </w:tc>
          </w:sdtContent>
        </w:sdt>
        <w:tc>
          <w:tcPr>
            <w:tcW w:w="3686" w:type="dxa"/>
          </w:tcPr>
          <w:p w14:paraId="073CE27D" w14:textId="77777777" w:rsidR="008D3EF2" w:rsidRDefault="008D3EF2" w:rsidP="008D3EF2">
            <w:pPr>
              <w:jc w:val="center"/>
            </w:pPr>
          </w:p>
        </w:tc>
      </w:tr>
      <w:tr w:rsidR="008D3EF2" w:rsidRPr="00CB1CD7" w14:paraId="1083187D" w14:textId="77777777" w:rsidTr="008D3EF2">
        <w:tc>
          <w:tcPr>
            <w:tcW w:w="2235" w:type="dxa"/>
          </w:tcPr>
          <w:p w14:paraId="5F110416" w14:textId="77777777" w:rsidR="008D3EF2" w:rsidRDefault="008D3EF2" w:rsidP="008D3EF2">
            <w:pPr>
              <w:pStyle w:val="Listenabsatz"/>
              <w:numPr>
                <w:ilvl w:val="1"/>
                <w:numId w:val="40"/>
              </w:numPr>
              <w:ind w:left="567"/>
            </w:pPr>
            <w:r>
              <w:t>MSW</w:t>
            </w:r>
          </w:p>
        </w:tc>
        <w:tc>
          <w:tcPr>
            <w:tcW w:w="5811" w:type="dxa"/>
          </w:tcPr>
          <w:p w14:paraId="2AD69723" w14:textId="77777777" w:rsidR="008D3EF2" w:rsidRDefault="008D3EF2" w:rsidP="008D3EF2">
            <w:pPr>
              <w:jc w:val="both"/>
            </w:pPr>
            <w:r>
              <w:t>Eine mikrobiologische Sicherheitswerkbank (MSW) oder eine Einrichtung mit gleichwertigem Schutzniveau muss verwendet werden.</w:t>
            </w:r>
          </w:p>
        </w:tc>
        <w:tc>
          <w:tcPr>
            <w:tcW w:w="1276" w:type="dxa"/>
          </w:tcPr>
          <w:p w14:paraId="0570D6B6" w14:textId="77777777" w:rsidR="008D3EF2" w:rsidRDefault="008D3EF2" w:rsidP="008D3EF2">
            <w:proofErr w:type="spellStart"/>
            <w:r>
              <w:t>Biostoffv</w:t>
            </w:r>
            <w:proofErr w:type="spellEnd"/>
            <w:r>
              <w:t xml:space="preserve"> Anhang II, 7</w:t>
            </w:r>
          </w:p>
        </w:tc>
        <w:sdt>
          <w:sdtPr>
            <w:id w:val="915830495"/>
            <w14:checkbox>
              <w14:checked w14:val="0"/>
              <w14:checkedState w14:val="2612" w14:font="MS Gothic"/>
              <w14:uncheckedState w14:val="2610" w14:font="MS Gothic"/>
            </w14:checkbox>
          </w:sdtPr>
          <w:sdtContent>
            <w:tc>
              <w:tcPr>
                <w:tcW w:w="567" w:type="dxa"/>
                <w:vAlign w:val="center"/>
              </w:tcPr>
              <w:p w14:paraId="54E9B20C" w14:textId="77777777" w:rsidR="008D3EF2" w:rsidRDefault="008D3EF2" w:rsidP="008D3EF2">
                <w:pPr>
                  <w:jc w:val="center"/>
                </w:pPr>
                <w:r>
                  <w:rPr>
                    <w:rFonts w:ascii="MS Gothic" w:eastAsia="MS Gothic" w:hAnsi="MS Gothic" w:hint="eastAsia"/>
                  </w:rPr>
                  <w:t>☐</w:t>
                </w:r>
              </w:p>
            </w:tc>
          </w:sdtContent>
        </w:sdt>
        <w:sdt>
          <w:sdtPr>
            <w:id w:val="-1651284024"/>
            <w14:checkbox>
              <w14:checked w14:val="0"/>
              <w14:checkedState w14:val="2612" w14:font="MS Gothic"/>
              <w14:uncheckedState w14:val="2610" w14:font="MS Gothic"/>
            </w14:checkbox>
          </w:sdtPr>
          <w:sdtContent>
            <w:tc>
              <w:tcPr>
                <w:tcW w:w="567" w:type="dxa"/>
                <w:vAlign w:val="center"/>
              </w:tcPr>
              <w:p w14:paraId="24605D76" w14:textId="77777777" w:rsidR="008D3EF2" w:rsidRDefault="008D3EF2" w:rsidP="008D3EF2">
                <w:pPr>
                  <w:jc w:val="center"/>
                </w:pPr>
                <w:r>
                  <w:rPr>
                    <w:rFonts w:ascii="MS Gothic" w:eastAsia="MS Gothic" w:hAnsi="MS Gothic" w:hint="eastAsia"/>
                  </w:rPr>
                  <w:t>☐</w:t>
                </w:r>
              </w:p>
            </w:tc>
          </w:sdtContent>
        </w:sdt>
        <w:tc>
          <w:tcPr>
            <w:tcW w:w="3686" w:type="dxa"/>
          </w:tcPr>
          <w:p w14:paraId="14656291" w14:textId="77777777" w:rsidR="008D3EF2" w:rsidRDefault="008D3EF2" w:rsidP="008D3EF2">
            <w:pPr>
              <w:jc w:val="center"/>
            </w:pPr>
          </w:p>
        </w:tc>
      </w:tr>
      <w:tr w:rsidR="008D3EF2" w:rsidRPr="00CB1CD7" w14:paraId="2D015CC0" w14:textId="77777777" w:rsidTr="008D3EF2">
        <w:tc>
          <w:tcPr>
            <w:tcW w:w="2235" w:type="dxa"/>
          </w:tcPr>
          <w:p w14:paraId="104F35A6" w14:textId="77777777" w:rsidR="008D3EF2" w:rsidRDefault="008D3EF2" w:rsidP="008D3EF2">
            <w:pPr>
              <w:pStyle w:val="Listenabsatz"/>
              <w:numPr>
                <w:ilvl w:val="1"/>
                <w:numId w:val="40"/>
              </w:numPr>
              <w:ind w:left="567"/>
            </w:pPr>
            <w:r>
              <w:t>Alleinarbeit</w:t>
            </w:r>
          </w:p>
        </w:tc>
        <w:tc>
          <w:tcPr>
            <w:tcW w:w="5811" w:type="dxa"/>
          </w:tcPr>
          <w:p w14:paraId="49C9EAA9" w14:textId="77777777" w:rsidR="008D3EF2" w:rsidRDefault="008D3EF2" w:rsidP="008D3EF2">
            <w:pPr>
              <w:jc w:val="both"/>
            </w:pPr>
            <w:r>
              <w:t>Für die Kommunikation zwischen Laboratorium und Außenbereich muss eine geeignete Einrichtung vorhanden sein. Im Rahmen der Gefährdungsbeurteilung ist festzulegen, unter welchen Bedingungen Alleinarbeit möglich ist.</w:t>
            </w:r>
          </w:p>
        </w:tc>
        <w:tc>
          <w:tcPr>
            <w:tcW w:w="1276" w:type="dxa"/>
          </w:tcPr>
          <w:p w14:paraId="623C2890" w14:textId="77777777" w:rsidR="008D3EF2" w:rsidRDefault="008D3EF2" w:rsidP="008D3EF2">
            <w:r>
              <w:t>TRBA 100, 5.4.1 (2)</w:t>
            </w:r>
          </w:p>
        </w:tc>
        <w:sdt>
          <w:sdtPr>
            <w:id w:val="-1347861157"/>
            <w14:checkbox>
              <w14:checked w14:val="0"/>
              <w14:checkedState w14:val="2612" w14:font="MS Gothic"/>
              <w14:uncheckedState w14:val="2610" w14:font="MS Gothic"/>
            </w14:checkbox>
          </w:sdtPr>
          <w:sdtContent>
            <w:tc>
              <w:tcPr>
                <w:tcW w:w="567" w:type="dxa"/>
                <w:vAlign w:val="center"/>
              </w:tcPr>
              <w:p w14:paraId="38ED0DFB" w14:textId="77777777" w:rsidR="008D3EF2" w:rsidRDefault="008D3EF2" w:rsidP="008D3EF2">
                <w:pPr>
                  <w:jc w:val="center"/>
                </w:pPr>
                <w:r>
                  <w:rPr>
                    <w:rFonts w:ascii="MS Gothic" w:eastAsia="MS Gothic" w:hAnsi="MS Gothic" w:hint="eastAsia"/>
                  </w:rPr>
                  <w:t>☐</w:t>
                </w:r>
              </w:p>
            </w:tc>
          </w:sdtContent>
        </w:sdt>
        <w:sdt>
          <w:sdtPr>
            <w:id w:val="-606582010"/>
            <w14:checkbox>
              <w14:checked w14:val="0"/>
              <w14:checkedState w14:val="2612" w14:font="MS Gothic"/>
              <w14:uncheckedState w14:val="2610" w14:font="MS Gothic"/>
            </w14:checkbox>
          </w:sdtPr>
          <w:sdtContent>
            <w:tc>
              <w:tcPr>
                <w:tcW w:w="567" w:type="dxa"/>
                <w:vAlign w:val="center"/>
              </w:tcPr>
              <w:p w14:paraId="793E1EB6" w14:textId="77777777" w:rsidR="008D3EF2" w:rsidRDefault="008D3EF2" w:rsidP="008D3EF2">
                <w:pPr>
                  <w:jc w:val="center"/>
                </w:pPr>
                <w:r>
                  <w:rPr>
                    <w:rFonts w:ascii="MS Gothic" w:eastAsia="MS Gothic" w:hAnsi="MS Gothic" w:hint="eastAsia"/>
                  </w:rPr>
                  <w:t>☐</w:t>
                </w:r>
              </w:p>
            </w:tc>
          </w:sdtContent>
        </w:sdt>
        <w:tc>
          <w:tcPr>
            <w:tcW w:w="3686" w:type="dxa"/>
            <w:vAlign w:val="center"/>
          </w:tcPr>
          <w:p w14:paraId="620D22EA" w14:textId="77777777" w:rsidR="008D3EF2" w:rsidRDefault="008D3EF2" w:rsidP="008D3EF2">
            <w:pPr>
              <w:jc w:val="center"/>
            </w:pPr>
          </w:p>
        </w:tc>
      </w:tr>
      <w:tr w:rsidR="008D3EF2" w:rsidRPr="00CB1CD7" w14:paraId="6393FAB3" w14:textId="77777777" w:rsidTr="008D3EF2">
        <w:tc>
          <w:tcPr>
            <w:tcW w:w="2235" w:type="dxa"/>
          </w:tcPr>
          <w:p w14:paraId="28500140" w14:textId="77777777" w:rsidR="008D3EF2" w:rsidRDefault="008D3EF2" w:rsidP="008D3EF2">
            <w:pPr>
              <w:pStyle w:val="Listenabsatz"/>
              <w:numPr>
                <w:ilvl w:val="1"/>
                <w:numId w:val="40"/>
              </w:numPr>
              <w:ind w:left="567"/>
            </w:pPr>
            <w:r>
              <w:t>Sicherheitsbeleuchtung</w:t>
            </w:r>
          </w:p>
        </w:tc>
        <w:tc>
          <w:tcPr>
            <w:tcW w:w="5811" w:type="dxa"/>
          </w:tcPr>
          <w:p w14:paraId="204CC360" w14:textId="77777777" w:rsidR="008D3EF2" w:rsidRDefault="008D3EF2" w:rsidP="008D3EF2">
            <w:pPr>
              <w:jc w:val="both"/>
            </w:pPr>
            <w:r>
              <w:t>Die Sicherheitsbeleuchtung im Schutzstufenbereich muss so ausgelegt sein, dass ein sicheres Einstellen der Arbeiten bei Stromausfall möglich ist.</w:t>
            </w:r>
          </w:p>
        </w:tc>
        <w:tc>
          <w:tcPr>
            <w:tcW w:w="1276" w:type="dxa"/>
          </w:tcPr>
          <w:p w14:paraId="3BF00C85" w14:textId="77777777" w:rsidR="008D3EF2" w:rsidRDefault="008D3EF2" w:rsidP="008D3EF2">
            <w:r>
              <w:t>TRBA 100, 5.4.1 (3)</w:t>
            </w:r>
          </w:p>
        </w:tc>
        <w:sdt>
          <w:sdtPr>
            <w:id w:val="-2130082773"/>
            <w14:checkbox>
              <w14:checked w14:val="0"/>
              <w14:checkedState w14:val="2612" w14:font="MS Gothic"/>
              <w14:uncheckedState w14:val="2610" w14:font="MS Gothic"/>
            </w14:checkbox>
          </w:sdtPr>
          <w:sdtContent>
            <w:tc>
              <w:tcPr>
                <w:tcW w:w="567" w:type="dxa"/>
                <w:vAlign w:val="center"/>
              </w:tcPr>
              <w:p w14:paraId="031D3192" w14:textId="77777777" w:rsidR="008D3EF2" w:rsidRDefault="008D3EF2" w:rsidP="008D3EF2">
                <w:pPr>
                  <w:jc w:val="center"/>
                </w:pPr>
                <w:r>
                  <w:rPr>
                    <w:rFonts w:ascii="MS Gothic" w:eastAsia="MS Gothic" w:hAnsi="MS Gothic" w:hint="eastAsia"/>
                  </w:rPr>
                  <w:t>☐</w:t>
                </w:r>
              </w:p>
            </w:tc>
          </w:sdtContent>
        </w:sdt>
        <w:sdt>
          <w:sdtPr>
            <w:id w:val="472262377"/>
            <w14:checkbox>
              <w14:checked w14:val="0"/>
              <w14:checkedState w14:val="2612" w14:font="MS Gothic"/>
              <w14:uncheckedState w14:val="2610" w14:font="MS Gothic"/>
            </w14:checkbox>
          </w:sdtPr>
          <w:sdtContent>
            <w:tc>
              <w:tcPr>
                <w:tcW w:w="567" w:type="dxa"/>
                <w:vAlign w:val="center"/>
              </w:tcPr>
              <w:p w14:paraId="12036D0F" w14:textId="77777777" w:rsidR="008D3EF2" w:rsidRDefault="008D3EF2" w:rsidP="008D3EF2">
                <w:pPr>
                  <w:jc w:val="center"/>
                </w:pPr>
                <w:r>
                  <w:rPr>
                    <w:rFonts w:ascii="MS Gothic" w:eastAsia="MS Gothic" w:hAnsi="MS Gothic" w:hint="eastAsia"/>
                  </w:rPr>
                  <w:t>☐</w:t>
                </w:r>
              </w:p>
            </w:tc>
          </w:sdtContent>
        </w:sdt>
        <w:tc>
          <w:tcPr>
            <w:tcW w:w="3686" w:type="dxa"/>
          </w:tcPr>
          <w:p w14:paraId="25525BAE" w14:textId="77777777" w:rsidR="008D3EF2" w:rsidRDefault="008D3EF2" w:rsidP="008D3EF2">
            <w:pPr>
              <w:jc w:val="center"/>
            </w:pPr>
          </w:p>
        </w:tc>
      </w:tr>
      <w:tr w:rsidR="008D3EF2" w:rsidRPr="00CB1CD7" w14:paraId="67C4183D" w14:textId="77777777" w:rsidTr="008D3EF2">
        <w:tc>
          <w:tcPr>
            <w:tcW w:w="2235" w:type="dxa"/>
          </w:tcPr>
          <w:p w14:paraId="3F0592B9" w14:textId="77777777" w:rsidR="008D3EF2" w:rsidRDefault="008D3EF2" w:rsidP="008D3EF2">
            <w:pPr>
              <w:pStyle w:val="Listenabsatz"/>
              <w:numPr>
                <w:ilvl w:val="1"/>
                <w:numId w:val="40"/>
              </w:numPr>
              <w:ind w:left="567"/>
            </w:pPr>
            <w:r>
              <w:t>Ausrüstung</w:t>
            </w:r>
          </w:p>
        </w:tc>
        <w:tc>
          <w:tcPr>
            <w:tcW w:w="5811" w:type="dxa"/>
          </w:tcPr>
          <w:p w14:paraId="53DA9A0C" w14:textId="77777777" w:rsidR="008D3EF2" w:rsidRDefault="008D3EF2" w:rsidP="008D3EF2">
            <w:pPr>
              <w:jc w:val="both"/>
            </w:pPr>
            <w:r>
              <w:t>Der Schutzstufenbereich muss über eine eigene Ausrüstung (Laborgerätschaften) verfügen.</w:t>
            </w:r>
          </w:p>
        </w:tc>
        <w:tc>
          <w:tcPr>
            <w:tcW w:w="1276" w:type="dxa"/>
          </w:tcPr>
          <w:p w14:paraId="0454AC35" w14:textId="77777777" w:rsidR="008D3EF2" w:rsidRDefault="008D3EF2" w:rsidP="008D3EF2">
            <w:r>
              <w:t>TRBA 100, 5.4.1 (4)</w:t>
            </w:r>
          </w:p>
        </w:tc>
        <w:sdt>
          <w:sdtPr>
            <w:id w:val="2093579718"/>
            <w14:checkbox>
              <w14:checked w14:val="0"/>
              <w14:checkedState w14:val="2612" w14:font="MS Gothic"/>
              <w14:uncheckedState w14:val="2610" w14:font="MS Gothic"/>
            </w14:checkbox>
          </w:sdtPr>
          <w:sdtContent>
            <w:tc>
              <w:tcPr>
                <w:tcW w:w="567" w:type="dxa"/>
                <w:vAlign w:val="center"/>
              </w:tcPr>
              <w:p w14:paraId="3F5F2BAB" w14:textId="77777777" w:rsidR="008D3EF2" w:rsidRDefault="008D3EF2" w:rsidP="008D3EF2">
                <w:pPr>
                  <w:jc w:val="center"/>
                </w:pPr>
                <w:r>
                  <w:rPr>
                    <w:rFonts w:ascii="MS Gothic" w:eastAsia="MS Gothic" w:hAnsi="MS Gothic" w:hint="eastAsia"/>
                  </w:rPr>
                  <w:t>☐</w:t>
                </w:r>
              </w:p>
            </w:tc>
          </w:sdtContent>
        </w:sdt>
        <w:sdt>
          <w:sdtPr>
            <w:id w:val="1087047365"/>
            <w14:checkbox>
              <w14:checked w14:val="0"/>
              <w14:checkedState w14:val="2612" w14:font="MS Gothic"/>
              <w14:uncheckedState w14:val="2610" w14:font="MS Gothic"/>
            </w14:checkbox>
          </w:sdtPr>
          <w:sdtContent>
            <w:tc>
              <w:tcPr>
                <w:tcW w:w="567" w:type="dxa"/>
                <w:vAlign w:val="center"/>
              </w:tcPr>
              <w:p w14:paraId="411B24B9" w14:textId="77777777" w:rsidR="008D3EF2" w:rsidRDefault="008D3EF2" w:rsidP="008D3EF2">
                <w:pPr>
                  <w:jc w:val="center"/>
                </w:pPr>
                <w:r>
                  <w:rPr>
                    <w:rFonts w:ascii="MS Gothic" w:eastAsia="MS Gothic" w:hAnsi="MS Gothic" w:hint="eastAsia"/>
                  </w:rPr>
                  <w:t>☐</w:t>
                </w:r>
              </w:p>
            </w:tc>
          </w:sdtContent>
        </w:sdt>
        <w:tc>
          <w:tcPr>
            <w:tcW w:w="3686" w:type="dxa"/>
          </w:tcPr>
          <w:p w14:paraId="0441B4DC" w14:textId="77777777" w:rsidR="008D3EF2" w:rsidRDefault="008D3EF2" w:rsidP="008D3EF2">
            <w:pPr>
              <w:jc w:val="center"/>
            </w:pPr>
          </w:p>
        </w:tc>
      </w:tr>
      <w:tr w:rsidR="008D3EF2" w:rsidRPr="00CB1CD7" w14:paraId="3530A9A8" w14:textId="77777777" w:rsidTr="008D3EF2">
        <w:tc>
          <w:tcPr>
            <w:tcW w:w="2235" w:type="dxa"/>
          </w:tcPr>
          <w:p w14:paraId="68E2BE77" w14:textId="77777777" w:rsidR="008D3EF2" w:rsidRDefault="008D3EF2" w:rsidP="008D3EF2">
            <w:pPr>
              <w:pStyle w:val="Listenabsatz"/>
              <w:numPr>
                <w:ilvl w:val="1"/>
                <w:numId w:val="40"/>
              </w:numPr>
              <w:ind w:left="567"/>
            </w:pPr>
            <w:r>
              <w:t>Vorraum, „Schleuse“</w:t>
            </w:r>
          </w:p>
        </w:tc>
        <w:tc>
          <w:tcPr>
            <w:tcW w:w="5811" w:type="dxa"/>
          </w:tcPr>
          <w:p w14:paraId="5DB1C10E" w14:textId="77777777" w:rsidR="008D3EF2" w:rsidRDefault="008D3EF2" w:rsidP="008D3EF2">
            <w:pPr>
              <w:jc w:val="both"/>
            </w:pPr>
            <w:r>
              <w:t>Für Tätigkeiten mit einigen biologischen Arbeitsstoffen der Risikogruppe 3(**) ist gemäß Anlage 1 der TRBA 100 ein geeigneter Vorraum erforderlich.</w:t>
            </w:r>
          </w:p>
          <w:p w14:paraId="07483086" w14:textId="77777777" w:rsidR="008D3EF2" w:rsidRDefault="008D3EF2" w:rsidP="008D3EF2">
            <w:pPr>
              <w:jc w:val="both"/>
            </w:pPr>
            <w:r>
              <w:t xml:space="preserve">Ansonsten muss innerhalb des Schutzstufenbereichs am Eingang ein Bereich zum An- und Ablegen der Schutzkleidung eingerichtet werden (Abgrenzung reine, unreine Seite </w:t>
            </w:r>
            <w:proofErr w:type="spellStart"/>
            <w:r>
              <w:t>zB</w:t>
            </w:r>
            <w:proofErr w:type="spellEnd"/>
            <w:r>
              <w:t xml:space="preserve"> durch Boden-Markierung).</w:t>
            </w:r>
          </w:p>
        </w:tc>
        <w:tc>
          <w:tcPr>
            <w:tcW w:w="1276" w:type="dxa"/>
          </w:tcPr>
          <w:p w14:paraId="777A3082" w14:textId="77777777" w:rsidR="008D3EF2" w:rsidRDefault="008D3EF2" w:rsidP="008D3EF2">
            <w:r>
              <w:t>TRBA 100, 5.4.1 (9)</w:t>
            </w:r>
          </w:p>
        </w:tc>
        <w:sdt>
          <w:sdtPr>
            <w:id w:val="1605147511"/>
            <w14:checkbox>
              <w14:checked w14:val="0"/>
              <w14:checkedState w14:val="2612" w14:font="MS Gothic"/>
              <w14:uncheckedState w14:val="2610" w14:font="MS Gothic"/>
            </w14:checkbox>
          </w:sdtPr>
          <w:sdtContent>
            <w:tc>
              <w:tcPr>
                <w:tcW w:w="567" w:type="dxa"/>
                <w:vAlign w:val="center"/>
              </w:tcPr>
              <w:p w14:paraId="25A3F565" w14:textId="77777777" w:rsidR="008D3EF2" w:rsidRDefault="008D3EF2" w:rsidP="008D3EF2">
                <w:pPr>
                  <w:jc w:val="center"/>
                </w:pPr>
                <w:r>
                  <w:rPr>
                    <w:rFonts w:ascii="MS Gothic" w:eastAsia="MS Gothic" w:hAnsi="MS Gothic" w:hint="eastAsia"/>
                  </w:rPr>
                  <w:t>☐</w:t>
                </w:r>
              </w:p>
            </w:tc>
          </w:sdtContent>
        </w:sdt>
        <w:sdt>
          <w:sdtPr>
            <w:id w:val="-1715035914"/>
            <w14:checkbox>
              <w14:checked w14:val="0"/>
              <w14:checkedState w14:val="2612" w14:font="MS Gothic"/>
              <w14:uncheckedState w14:val="2610" w14:font="MS Gothic"/>
            </w14:checkbox>
          </w:sdtPr>
          <w:sdtContent>
            <w:tc>
              <w:tcPr>
                <w:tcW w:w="567" w:type="dxa"/>
                <w:vAlign w:val="center"/>
              </w:tcPr>
              <w:p w14:paraId="1E09FB6F" w14:textId="77777777" w:rsidR="008D3EF2" w:rsidRDefault="008D3EF2" w:rsidP="008D3EF2">
                <w:pPr>
                  <w:jc w:val="center"/>
                </w:pPr>
                <w:r>
                  <w:rPr>
                    <w:rFonts w:ascii="MS Gothic" w:eastAsia="MS Gothic" w:hAnsi="MS Gothic" w:hint="eastAsia"/>
                  </w:rPr>
                  <w:t>☐</w:t>
                </w:r>
              </w:p>
            </w:tc>
          </w:sdtContent>
        </w:sdt>
        <w:tc>
          <w:tcPr>
            <w:tcW w:w="3686" w:type="dxa"/>
          </w:tcPr>
          <w:p w14:paraId="0C9E6FB8" w14:textId="77777777" w:rsidR="008D3EF2" w:rsidRDefault="008D3EF2" w:rsidP="008D3EF2">
            <w:pPr>
              <w:jc w:val="center"/>
            </w:pPr>
          </w:p>
        </w:tc>
      </w:tr>
      <w:tr w:rsidR="008D3EF2" w:rsidRPr="00CB1CD7" w14:paraId="6052A46B" w14:textId="77777777" w:rsidTr="008D3EF2">
        <w:tc>
          <w:tcPr>
            <w:tcW w:w="9322" w:type="dxa"/>
            <w:gridSpan w:val="3"/>
            <w:shd w:val="clear" w:color="auto" w:fill="D9D9D9" w:themeFill="background1" w:themeFillShade="D9"/>
            <w:vAlign w:val="center"/>
          </w:tcPr>
          <w:p w14:paraId="3D9AE2AF" w14:textId="77777777" w:rsidR="008D3EF2" w:rsidRPr="003F00F3" w:rsidRDefault="008D3EF2" w:rsidP="008D3EF2">
            <w:pPr>
              <w:pStyle w:val="Listenabsatz"/>
              <w:numPr>
                <w:ilvl w:val="0"/>
                <w:numId w:val="40"/>
              </w:numPr>
              <w:rPr>
                <w:b/>
              </w:rPr>
            </w:pPr>
            <w:r w:rsidRPr="003F00F3">
              <w:rPr>
                <w:b/>
              </w:rPr>
              <w:t>Organisatorische Schutzmaßnahmen</w:t>
            </w:r>
          </w:p>
        </w:tc>
        <w:tc>
          <w:tcPr>
            <w:tcW w:w="567" w:type="dxa"/>
            <w:shd w:val="clear" w:color="auto" w:fill="D9D9D9" w:themeFill="background1" w:themeFillShade="D9"/>
            <w:vAlign w:val="center"/>
          </w:tcPr>
          <w:p w14:paraId="79F71C67" w14:textId="77777777" w:rsidR="008D3EF2" w:rsidRPr="003F00F3" w:rsidRDefault="008D3EF2" w:rsidP="008D3EF2">
            <w:pPr>
              <w:pStyle w:val="Listenabsatz"/>
              <w:ind w:left="360"/>
              <w:rPr>
                <w:b/>
              </w:rPr>
            </w:pPr>
          </w:p>
        </w:tc>
        <w:tc>
          <w:tcPr>
            <w:tcW w:w="567" w:type="dxa"/>
            <w:shd w:val="clear" w:color="auto" w:fill="D9D9D9" w:themeFill="background1" w:themeFillShade="D9"/>
            <w:vAlign w:val="center"/>
          </w:tcPr>
          <w:p w14:paraId="18098A8A" w14:textId="77777777" w:rsidR="008D3EF2" w:rsidRPr="003F00F3" w:rsidRDefault="008D3EF2" w:rsidP="008D3EF2">
            <w:pPr>
              <w:pStyle w:val="Listenabsatz"/>
              <w:ind w:left="360"/>
              <w:rPr>
                <w:b/>
              </w:rPr>
            </w:pPr>
          </w:p>
        </w:tc>
        <w:tc>
          <w:tcPr>
            <w:tcW w:w="3686" w:type="dxa"/>
            <w:shd w:val="clear" w:color="auto" w:fill="D9D9D9" w:themeFill="background1" w:themeFillShade="D9"/>
            <w:vAlign w:val="center"/>
          </w:tcPr>
          <w:p w14:paraId="26E95445" w14:textId="4813E090" w:rsidR="008D3EF2" w:rsidRPr="003F00F3" w:rsidRDefault="008D3EF2" w:rsidP="008D3EF2">
            <w:pPr>
              <w:pStyle w:val="Listenabsatz"/>
              <w:ind w:left="360"/>
              <w:rPr>
                <w:b/>
              </w:rPr>
            </w:pPr>
          </w:p>
        </w:tc>
      </w:tr>
      <w:tr w:rsidR="008D3EF2" w:rsidRPr="00CB1CD7" w14:paraId="40E61BF4" w14:textId="77777777" w:rsidTr="008D3EF2">
        <w:tc>
          <w:tcPr>
            <w:tcW w:w="2235" w:type="dxa"/>
          </w:tcPr>
          <w:p w14:paraId="5D7A9667" w14:textId="77777777" w:rsidR="008D3EF2" w:rsidRPr="00CB1CD7" w:rsidRDefault="008D3EF2" w:rsidP="008D3EF2">
            <w:pPr>
              <w:pStyle w:val="Listenabsatz"/>
              <w:numPr>
                <w:ilvl w:val="1"/>
                <w:numId w:val="40"/>
              </w:numPr>
              <w:ind w:left="567"/>
            </w:pPr>
            <w:r>
              <w:t>Dekontamination HEPA Filter</w:t>
            </w:r>
          </w:p>
        </w:tc>
        <w:tc>
          <w:tcPr>
            <w:tcW w:w="5811" w:type="dxa"/>
          </w:tcPr>
          <w:p w14:paraId="42E8DF16" w14:textId="77777777" w:rsidR="008D3EF2" w:rsidRDefault="008D3EF2" w:rsidP="008D3EF2">
            <w:pPr>
              <w:jc w:val="both"/>
            </w:pPr>
            <w:r>
              <w:t>Die beim Ausbau und der Dekontamination von HEPA-Filtern aus einer mikrobiologischen Sicherheitswerkbank (MSW) zu beachtenden Schutzmaßnahmen sind auf der Grundlage der Gefährdungsbeurteilung festzulegen. Entsprechende Arbeits</w:t>
            </w:r>
            <w:r>
              <w:lastRenderedPageBreak/>
              <w:t>anweisungen müssen vorliegen. Wenn beim Filterwechsel aufgrund der verwendeten biologischen Arbeitsstoffe, der in Frage kommenden Übertragungswege und der MSW-Nutzungsbedingungen eine Infektionsgefährdung des Wartungspersonals und anderer Personen nicht ausgeschlossen werden kann, sind die Filter im eingebauten Zustand zu dekontaminieren. Dies kann durch in situ Begasung mit Wasserstoffperoxid oder Formaldehyd entsprechend der Liste der vom Robert Koch-Institut (RKI) geprüften und anerkannten Desinfektionsmittel und -verfahren erfolgen.</w:t>
            </w:r>
          </w:p>
          <w:p w14:paraId="7AC31785" w14:textId="77777777" w:rsidR="008D3EF2" w:rsidRDefault="008D3EF2" w:rsidP="008D3EF2">
            <w:pPr>
              <w:jc w:val="both"/>
            </w:pPr>
            <w:r>
              <w:t>Wird von den spezifischen RKI gelisteten Verfahren abgewichen, ist die Wirksamkeit der getroffenen Maßnahmen zu validieren.</w:t>
            </w:r>
          </w:p>
          <w:p w14:paraId="296A42ED" w14:textId="77777777" w:rsidR="008D3EF2" w:rsidRPr="003F00F3" w:rsidRDefault="008D3EF2" w:rsidP="008D3EF2">
            <w:pPr>
              <w:jc w:val="both"/>
              <w:rPr>
                <w:i/>
              </w:rPr>
            </w:pPr>
            <w:r w:rsidRPr="003F00F3">
              <w:rPr>
                <w:i/>
              </w:rPr>
              <w:t>Hinweise: Bei HEPA-Filtern aus MSW, in denen mit TSE-Agenzien gearbeitet wurde, ist entsprechend</w:t>
            </w:r>
            <w:r>
              <w:rPr>
                <w:i/>
              </w:rPr>
              <w:t xml:space="preserve"> der Stellungnahme des ABAS</w:t>
            </w:r>
            <w:r w:rsidRPr="003F00F3">
              <w:rPr>
                <w:i/>
              </w:rPr>
              <w:t xml:space="preserve"> zu verfahren. Formaldehyd stabilisiert die</w:t>
            </w:r>
            <w:r>
              <w:rPr>
                <w:i/>
              </w:rPr>
              <w:t xml:space="preserve"> Infektiosität von TSE-Agenzien!</w:t>
            </w:r>
          </w:p>
        </w:tc>
        <w:tc>
          <w:tcPr>
            <w:tcW w:w="1276" w:type="dxa"/>
          </w:tcPr>
          <w:p w14:paraId="6C965071" w14:textId="77777777" w:rsidR="008D3EF2" w:rsidRPr="00CB1CD7" w:rsidRDefault="008D3EF2" w:rsidP="008D3EF2">
            <w:r>
              <w:lastRenderedPageBreak/>
              <w:t>TRBA 100, 5.4.1 (7)</w:t>
            </w:r>
          </w:p>
        </w:tc>
        <w:sdt>
          <w:sdtPr>
            <w:id w:val="1866864575"/>
            <w14:checkbox>
              <w14:checked w14:val="0"/>
              <w14:checkedState w14:val="2612" w14:font="MS Gothic"/>
              <w14:uncheckedState w14:val="2610" w14:font="MS Gothic"/>
            </w14:checkbox>
          </w:sdtPr>
          <w:sdtContent>
            <w:tc>
              <w:tcPr>
                <w:tcW w:w="567" w:type="dxa"/>
                <w:vAlign w:val="center"/>
              </w:tcPr>
              <w:p w14:paraId="5D98F0CA" w14:textId="77777777" w:rsidR="008D3EF2" w:rsidRPr="00CB1CD7" w:rsidRDefault="008D3EF2" w:rsidP="008D3EF2">
                <w:pPr>
                  <w:jc w:val="center"/>
                </w:pPr>
                <w:r w:rsidRPr="00CB1CD7">
                  <w:rPr>
                    <w:rFonts w:ascii="MS Gothic" w:eastAsia="MS Gothic" w:hAnsi="MS Gothic" w:hint="eastAsia"/>
                  </w:rPr>
                  <w:t>☐</w:t>
                </w:r>
              </w:p>
            </w:tc>
          </w:sdtContent>
        </w:sdt>
        <w:sdt>
          <w:sdtPr>
            <w:id w:val="1031766907"/>
            <w14:checkbox>
              <w14:checked w14:val="0"/>
              <w14:checkedState w14:val="2612" w14:font="MS Gothic"/>
              <w14:uncheckedState w14:val="2610" w14:font="MS Gothic"/>
            </w14:checkbox>
          </w:sdtPr>
          <w:sdtContent>
            <w:tc>
              <w:tcPr>
                <w:tcW w:w="567" w:type="dxa"/>
                <w:vAlign w:val="center"/>
              </w:tcPr>
              <w:p w14:paraId="4F5A6B65" w14:textId="77777777" w:rsidR="008D3EF2" w:rsidRDefault="008D3EF2" w:rsidP="008D3EF2">
                <w:pPr>
                  <w:jc w:val="center"/>
                </w:pPr>
                <w:r>
                  <w:rPr>
                    <w:rFonts w:ascii="MS Gothic" w:eastAsia="MS Gothic" w:hAnsi="MS Gothic" w:hint="eastAsia"/>
                  </w:rPr>
                  <w:t>☐</w:t>
                </w:r>
              </w:p>
            </w:tc>
          </w:sdtContent>
        </w:sdt>
        <w:tc>
          <w:tcPr>
            <w:tcW w:w="3686" w:type="dxa"/>
          </w:tcPr>
          <w:p w14:paraId="002C5C85" w14:textId="77777777" w:rsidR="008D3EF2" w:rsidRDefault="008D3EF2" w:rsidP="008D3EF2">
            <w:pPr>
              <w:jc w:val="center"/>
            </w:pPr>
          </w:p>
        </w:tc>
      </w:tr>
      <w:tr w:rsidR="008D3EF2" w:rsidRPr="00CB1CD7" w14:paraId="755BE86D" w14:textId="77777777" w:rsidTr="008D3EF2">
        <w:tc>
          <w:tcPr>
            <w:tcW w:w="2235" w:type="dxa"/>
          </w:tcPr>
          <w:p w14:paraId="56CB3DFA" w14:textId="77777777" w:rsidR="008D3EF2" w:rsidRDefault="008D3EF2" w:rsidP="008D3EF2">
            <w:pPr>
              <w:pStyle w:val="Listenabsatz"/>
              <w:numPr>
                <w:ilvl w:val="1"/>
                <w:numId w:val="40"/>
              </w:numPr>
              <w:ind w:left="567"/>
            </w:pPr>
            <w:r>
              <w:t>Arbeitsanweisungen</w:t>
            </w:r>
          </w:p>
        </w:tc>
        <w:tc>
          <w:tcPr>
            <w:tcW w:w="5811" w:type="dxa"/>
          </w:tcPr>
          <w:p w14:paraId="4E157BFB" w14:textId="77777777" w:rsidR="008D3EF2" w:rsidRDefault="008D3EF2" w:rsidP="008D3EF2">
            <w:pPr>
              <w:jc w:val="both"/>
            </w:pPr>
            <w:r>
              <w:t xml:space="preserve">Für spezielle Tätigkeiten mit erhöhter Gefährdung sind zusätzlich zur Betriebsanweisung Arbeitsanweisungen zu erstellen. Hierzu zählen aufgrund der Verletzungsgefahr und des damit verbundenen Infektionsrisikos auch </w:t>
            </w:r>
            <w:r w:rsidRPr="00AC29A4">
              <w:rPr>
                <w:b/>
              </w:rPr>
              <w:t>Tätigkeiten mit schneidenden und spitzen Instrumenten</w:t>
            </w:r>
            <w:r>
              <w:t>, wie z.B. die Entnahme von tierischen Probenmaterialien</w:t>
            </w:r>
          </w:p>
        </w:tc>
        <w:tc>
          <w:tcPr>
            <w:tcW w:w="1276" w:type="dxa"/>
          </w:tcPr>
          <w:p w14:paraId="2942360F" w14:textId="77777777" w:rsidR="008D3EF2" w:rsidRDefault="008D3EF2" w:rsidP="008D3EF2">
            <w:r>
              <w:t>TRBA 100, 5.4.1 (8)</w:t>
            </w:r>
          </w:p>
        </w:tc>
        <w:sdt>
          <w:sdtPr>
            <w:id w:val="-1933973626"/>
            <w14:checkbox>
              <w14:checked w14:val="0"/>
              <w14:checkedState w14:val="2612" w14:font="MS Gothic"/>
              <w14:uncheckedState w14:val="2610" w14:font="MS Gothic"/>
            </w14:checkbox>
          </w:sdtPr>
          <w:sdtContent>
            <w:tc>
              <w:tcPr>
                <w:tcW w:w="567" w:type="dxa"/>
                <w:vAlign w:val="center"/>
              </w:tcPr>
              <w:p w14:paraId="6C20AA2C" w14:textId="77777777" w:rsidR="008D3EF2" w:rsidRDefault="008D3EF2" w:rsidP="008D3EF2">
                <w:pPr>
                  <w:jc w:val="center"/>
                </w:pPr>
                <w:r>
                  <w:rPr>
                    <w:rFonts w:ascii="MS Gothic" w:eastAsia="MS Gothic" w:hAnsi="MS Gothic" w:hint="eastAsia"/>
                  </w:rPr>
                  <w:t>☐</w:t>
                </w:r>
              </w:p>
            </w:tc>
          </w:sdtContent>
        </w:sdt>
        <w:sdt>
          <w:sdtPr>
            <w:id w:val="233434957"/>
            <w14:checkbox>
              <w14:checked w14:val="0"/>
              <w14:checkedState w14:val="2612" w14:font="MS Gothic"/>
              <w14:uncheckedState w14:val="2610" w14:font="MS Gothic"/>
            </w14:checkbox>
          </w:sdtPr>
          <w:sdtContent>
            <w:tc>
              <w:tcPr>
                <w:tcW w:w="567" w:type="dxa"/>
                <w:vAlign w:val="center"/>
              </w:tcPr>
              <w:p w14:paraId="3C2D5A30" w14:textId="77777777" w:rsidR="008D3EF2" w:rsidRDefault="008D3EF2" w:rsidP="008D3EF2">
                <w:pPr>
                  <w:jc w:val="center"/>
                </w:pPr>
                <w:r>
                  <w:rPr>
                    <w:rFonts w:ascii="MS Gothic" w:eastAsia="MS Gothic" w:hAnsi="MS Gothic" w:hint="eastAsia"/>
                  </w:rPr>
                  <w:t>☐</w:t>
                </w:r>
              </w:p>
            </w:tc>
          </w:sdtContent>
        </w:sdt>
        <w:tc>
          <w:tcPr>
            <w:tcW w:w="3686" w:type="dxa"/>
          </w:tcPr>
          <w:p w14:paraId="4AD8AC6F" w14:textId="77777777" w:rsidR="008D3EF2" w:rsidRDefault="008D3EF2" w:rsidP="008D3EF2">
            <w:pPr>
              <w:jc w:val="center"/>
            </w:pPr>
          </w:p>
        </w:tc>
      </w:tr>
      <w:tr w:rsidR="008D3EF2" w:rsidRPr="00CB1CD7" w14:paraId="64D48ACF" w14:textId="77777777" w:rsidTr="008D3EF2">
        <w:tc>
          <w:tcPr>
            <w:tcW w:w="9322" w:type="dxa"/>
            <w:gridSpan w:val="3"/>
            <w:tcBorders>
              <w:top w:val="single" w:sz="4" w:space="0" w:color="auto"/>
            </w:tcBorders>
            <w:shd w:val="clear" w:color="auto" w:fill="D9D9D9" w:themeFill="background1" w:themeFillShade="D9"/>
          </w:tcPr>
          <w:p w14:paraId="315EC023" w14:textId="77777777" w:rsidR="008D3EF2" w:rsidRPr="00AD1F99" w:rsidRDefault="008D3EF2" w:rsidP="008D3EF2">
            <w:pPr>
              <w:pStyle w:val="Listenabsatz"/>
              <w:numPr>
                <w:ilvl w:val="0"/>
                <w:numId w:val="40"/>
              </w:numPr>
              <w:rPr>
                <w:b/>
              </w:rPr>
            </w:pPr>
            <w:r w:rsidRPr="00AD1F99">
              <w:rPr>
                <w:b/>
              </w:rPr>
              <w:t>Persönliche Schutzmaßnahmen</w:t>
            </w:r>
          </w:p>
        </w:tc>
        <w:tc>
          <w:tcPr>
            <w:tcW w:w="567" w:type="dxa"/>
            <w:tcBorders>
              <w:top w:val="single" w:sz="4" w:space="0" w:color="auto"/>
            </w:tcBorders>
            <w:shd w:val="clear" w:color="auto" w:fill="D9D9D9" w:themeFill="background1" w:themeFillShade="D9"/>
          </w:tcPr>
          <w:p w14:paraId="1AFDCE71" w14:textId="77777777" w:rsidR="008D3EF2" w:rsidRPr="00AD1F99" w:rsidRDefault="008D3EF2" w:rsidP="008D3EF2">
            <w:pPr>
              <w:pStyle w:val="Listenabsatz"/>
              <w:ind w:left="360"/>
              <w:rPr>
                <w:b/>
              </w:rPr>
            </w:pPr>
          </w:p>
        </w:tc>
        <w:tc>
          <w:tcPr>
            <w:tcW w:w="567" w:type="dxa"/>
            <w:tcBorders>
              <w:top w:val="single" w:sz="4" w:space="0" w:color="auto"/>
            </w:tcBorders>
            <w:shd w:val="clear" w:color="auto" w:fill="D9D9D9" w:themeFill="background1" w:themeFillShade="D9"/>
          </w:tcPr>
          <w:p w14:paraId="15E582B8" w14:textId="77777777" w:rsidR="008D3EF2" w:rsidRPr="00AD1F99" w:rsidRDefault="008D3EF2" w:rsidP="008D3EF2">
            <w:pPr>
              <w:pStyle w:val="Listenabsatz"/>
              <w:ind w:left="360"/>
              <w:rPr>
                <w:b/>
              </w:rPr>
            </w:pPr>
          </w:p>
        </w:tc>
        <w:tc>
          <w:tcPr>
            <w:tcW w:w="3686" w:type="dxa"/>
            <w:tcBorders>
              <w:top w:val="single" w:sz="4" w:space="0" w:color="auto"/>
            </w:tcBorders>
            <w:shd w:val="clear" w:color="auto" w:fill="D9D9D9" w:themeFill="background1" w:themeFillShade="D9"/>
          </w:tcPr>
          <w:p w14:paraId="61F09016" w14:textId="0ABA8A77" w:rsidR="008D3EF2" w:rsidRPr="00AD1F99" w:rsidRDefault="008D3EF2" w:rsidP="008D3EF2">
            <w:pPr>
              <w:pStyle w:val="Listenabsatz"/>
              <w:ind w:left="360"/>
              <w:rPr>
                <w:b/>
              </w:rPr>
            </w:pPr>
          </w:p>
        </w:tc>
      </w:tr>
      <w:tr w:rsidR="008D3EF2" w:rsidRPr="00CB1CD7" w14:paraId="378C59C8" w14:textId="77777777" w:rsidTr="008D3EF2">
        <w:tc>
          <w:tcPr>
            <w:tcW w:w="2235" w:type="dxa"/>
            <w:vMerge w:val="restart"/>
          </w:tcPr>
          <w:p w14:paraId="48DE19D7" w14:textId="77777777" w:rsidR="008D3EF2" w:rsidRPr="00CB1CD7" w:rsidRDefault="008D3EF2" w:rsidP="008D3EF2">
            <w:pPr>
              <w:pStyle w:val="Listenabsatz"/>
              <w:numPr>
                <w:ilvl w:val="1"/>
                <w:numId w:val="40"/>
              </w:numPr>
              <w:ind w:left="567"/>
            </w:pPr>
            <w:r>
              <w:t>Schutzkleidung</w:t>
            </w:r>
          </w:p>
        </w:tc>
        <w:tc>
          <w:tcPr>
            <w:tcW w:w="5811" w:type="dxa"/>
          </w:tcPr>
          <w:p w14:paraId="0B922380" w14:textId="77777777" w:rsidR="008D3EF2" w:rsidRPr="00CB1CD7" w:rsidRDefault="008D3EF2" w:rsidP="008D3EF2">
            <w:pPr>
              <w:jc w:val="both"/>
            </w:pPr>
            <w:r>
              <w:t xml:space="preserve">Die für die Tätigkeiten vorgesehene Schutzkleidung und persönliche Schutzausrüstung ist im Schutzstufenbereich anzulegen und nach Beendigung der Tätigkeit abzulegen (im Vorraum oder Eingangsbereich, siehe 2.6). Im Eingangsbereich bzw. im Vorraum sind geeignete </w:t>
            </w:r>
            <w:proofErr w:type="spellStart"/>
            <w:r>
              <w:t>dekontaminierbare</w:t>
            </w:r>
            <w:proofErr w:type="spellEnd"/>
            <w:r>
              <w:t xml:space="preserve"> Sammel</w:t>
            </w:r>
            <w:r>
              <w:lastRenderedPageBreak/>
              <w:t>behälter für benutzte, zur Reinigung vorgesehene Schutzkleidung bzw. persönliche Schutzausrüstung bereitzustellen.</w:t>
            </w:r>
          </w:p>
        </w:tc>
        <w:tc>
          <w:tcPr>
            <w:tcW w:w="1276" w:type="dxa"/>
            <w:vMerge w:val="restart"/>
          </w:tcPr>
          <w:p w14:paraId="0068A98A" w14:textId="77777777" w:rsidR="008D3EF2" w:rsidRPr="00CB1CD7" w:rsidRDefault="008D3EF2" w:rsidP="008D3EF2">
            <w:r>
              <w:lastRenderedPageBreak/>
              <w:t>TRBA 100, 5.4.1 (9)</w:t>
            </w:r>
          </w:p>
        </w:tc>
        <w:sdt>
          <w:sdtPr>
            <w:id w:val="-1636936661"/>
            <w14:checkbox>
              <w14:checked w14:val="0"/>
              <w14:checkedState w14:val="2612" w14:font="MS Gothic"/>
              <w14:uncheckedState w14:val="2610" w14:font="MS Gothic"/>
            </w14:checkbox>
          </w:sdtPr>
          <w:sdtContent>
            <w:tc>
              <w:tcPr>
                <w:tcW w:w="567" w:type="dxa"/>
                <w:vAlign w:val="center"/>
              </w:tcPr>
              <w:p w14:paraId="4A3CC3E9" w14:textId="77777777" w:rsidR="008D3EF2" w:rsidRPr="00CB1CD7" w:rsidRDefault="008D3EF2" w:rsidP="008D3EF2">
                <w:pPr>
                  <w:jc w:val="center"/>
                </w:pPr>
                <w:r>
                  <w:rPr>
                    <w:rFonts w:ascii="MS Gothic" w:eastAsia="MS Gothic" w:hAnsi="MS Gothic" w:hint="eastAsia"/>
                  </w:rPr>
                  <w:t>☐</w:t>
                </w:r>
              </w:p>
            </w:tc>
          </w:sdtContent>
        </w:sdt>
        <w:sdt>
          <w:sdtPr>
            <w:id w:val="-1683890835"/>
            <w14:checkbox>
              <w14:checked w14:val="0"/>
              <w14:checkedState w14:val="2612" w14:font="MS Gothic"/>
              <w14:uncheckedState w14:val="2610" w14:font="MS Gothic"/>
            </w14:checkbox>
          </w:sdtPr>
          <w:sdtContent>
            <w:tc>
              <w:tcPr>
                <w:tcW w:w="567" w:type="dxa"/>
                <w:vAlign w:val="center"/>
              </w:tcPr>
              <w:p w14:paraId="1834A501" w14:textId="77777777" w:rsidR="008D3EF2" w:rsidRDefault="008D3EF2" w:rsidP="008D3EF2">
                <w:pPr>
                  <w:jc w:val="center"/>
                </w:pPr>
                <w:r>
                  <w:rPr>
                    <w:rFonts w:ascii="MS Gothic" w:eastAsia="MS Gothic" w:hAnsi="MS Gothic" w:hint="eastAsia"/>
                  </w:rPr>
                  <w:t>☐</w:t>
                </w:r>
              </w:p>
            </w:tc>
          </w:sdtContent>
        </w:sdt>
        <w:tc>
          <w:tcPr>
            <w:tcW w:w="3686" w:type="dxa"/>
          </w:tcPr>
          <w:p w14:paraId="52879C84" w14:textId="77777777" w:rsidR="008D3EF2" w:rsidRDefault="008D3EF2" w:rsidP="008D3EF2">
            <w:pPr>
              <w:jc w:val="center"/>
            </w:pPr>
          </w:p>
        </w:tc>
      </w:tr>
      <w:tr w:rsidR="008D3EF2" w:rsidRPr="00CB1CD7" w14:paraId="1990789E" w14:textId="77777777" w:rsidTr="008D3EF2">
        <w:tc>
          <w:tcPr>
            <w:tcW w:w="2235" w:type="dxa"/>
            <w:vMerge/>
          </w:tcPr>
          <w:p w14:paraId="1E5D21BA" w14:textId="77777777" w:rsidR="008D3EF2" w:rsidRDefault="008D3EF2" w:rsidP="008D3EF2"/>
        </w:tc>
        <w:tc>
          <w:tcPr>
            <w:tcW w:w="5811" w:type="dxa"/>
          </w:tcPr>
          <w:p w14:paraId="75E3AEC4" w14:textId="77777777" w:rsidR="008D3EF2" w:rsidRDefault="008D3EF2" w:rsidP="008D3EF2">
            <w:pPr>
              <w:jc w:val="both"/>
            </w:pPr>
            <w:r>
              <w:t>Die Schutzkleidung umfasst mindestens einen Rückenschlusskittel mit Kennzeichnung (z.B. farblich abgesetzt zu den in anderen Schutzstufenbereichen getragenen Schutzkitteln), geschlossene Schuhe und geeignete Schutzhandschuhe (mit einem AQL-Wert ≤ 1.5). In Abhängigkeit von Ergebnis der Gefährdungsbeurteilung können je nach Tätigkeit auch geeigneter Mund-Nasen-Schutz (Spritz- und Berührungsschutz) und Schutzbrille (Spritzschutz) erforderlich sein.</w:t>
            </w:r>
          </w:p>
        </w:tc>
        <w:tc>
          <w:tcPr>
            <w:tcW w:w="1276" w:type="dxa"/>
            <w:vMerge/>
          </w:tcPr>
          <w:p w14:paraId="3AB47902" w14:textId="77777777" w:rsidR="008D3EF2" w:rsidRDefault="008D3EF2" w:rsidP="008D3EF2"/>
        </w:tc>
        <w:sdt>
          <w:sdtPr>
            <w:id w:val="-853718693"/>
            <w14:checkbox>
              <w14:checked w14:val="0"/>
              <w14:checkedState w14:val="2612" w14:font="MS Gothic"/>
              <w14:uncheckedState w14:val="2610" w14:font="MS Gothic"/>
            </w14:checkbox>
          </w:sdtPr>
          <w:sdtContent>
            <w:tc>
              <w:tcPr>
                <w:tcW w:w="567" w:type="dxa"/>
                <w:vAlign w:val="center"/>
              </w:tcPr>
              <w:p w14:paraId="38931978" w14:textId="77777777" w:rsidR="008D3EF2" w:rsidRDefault="008D3EF2" w:rsidP="008D3EF2">
                <w:pPr>
                  <w:jc w:val="center"/>
                </w:pPr>
                <w:r>
                  <w:rPr>
                    <w:rFonts w:ascii="MS Gothic" w:eastAsia="MS Gothic" w:hAnsi="MS Gothic" w:hint="eastAsia"/>
                  </w:rPr>
                  <w:t>☐</w:t>
                </w:r>
              </w:p>
            </w:tc>
          </w:sdtContent>
        </w:sdt>
        <w:sdt>
          <w:sdtPr>
            <w:id w:val="-1894191164"/>
            <w14:checkbox>
              <w14:checked w14:val="0"/>
              <w14:checkedState w14:val="2612" w14:font="MS Gothic"/>
              <w14:uncheckedState w14:val="2610" w14:font="MS Gothic"/>
            </w14:checkbox>
          </w:sdtPr>
          <w:sdtContent>
            <w:tc>
              <w:tcPr>
                <w:tcW w:w="567" w:type="dxa"/>
                <w:vAlign w:val="center"/>
              </w:tcPr>
              <w:p w14:paraId="7E44DEF7" w14:textId="77777777" w:rsidR="008D3EF2" w:rsidRDefault="008D3EF2" w:rsidP="008D3EF2">
                <w:pPr>
                  <w:jc w:val="center"/>
                </w:pPr>
                <w:r>
                  <w:rPr>
                    <w:rFonts w:ascii="MS Gothic" w:eastAsia="MS Gothic" w:hAnsi="MS Gothic" w:hint="eastAsia"/>
                  </w:rPr>
                  <w:t>☐</w:t>
                </w:r>
              </w:p>
            </w:tc>
          </w:sdtContent>
        </w:sdt>
        <w:tc>
          <w:tcPr>
            <w:tcW w:w="3686" w:type="dxa"/>
          </w:tcPr>
          <w:p w14:paraId="06C047D5" w14:textId="77777777" w:rsidR="008D3EF2" w:rsidRDefault="008D3EF2" w:rsidP="008D3EF2">
            <w:pPr>
              <w:jc w:val="center"/>
            </w:pPr>
          </w:p>
        </w:tc>
      </w:tr>
    </w:tbl>
    <w:p w14:paraId="56700EC1" w14:textId="6EA550A3" w:rsidR="00386284" w:rsidRDefault="008D3EF2" w:rsidP="00FA51D1">
      <w:pPr>
        <w:spacing w:after="0"/>
        <w:rPr>
          <w:b/>
        </w:rPr>
      </w:pPr>
      <w:r>
        <w:rPr>
          <w:b/>
        </w:rPr>
        <w:br w:type="textWrapping" w:clear="all"/>
      </w:r>
    </w:p>
    <w:p w14:paraId="23F2D549" w14:textId="77777777" w:rsidR="0080649C" w:rsidRPr="00FA51D1" w:rsidRDefault="0080649C" w:rsidP="00FA51D1">
      <w:pPr>
        <w:spacing w:after="0"/>
        <w:rPr>
          <w:b/>
        </w:rPr>
      </w:pPr>
      <w:r w:rsidRPr="00FA51D1">
        <w:rPr>
          <w:b/>
        </w:rPr>
        <w:t>Legende:</w:t>
      </w:r>
    </w:p>
    <w:p w14:paraId="35ED1CD3" w14:textId="77777777" w:rsidR="0080649C" w:rsidRDefault="0080649C" w:rsidP="00FA51D1">
      <w:pPr>
        <w:spacing w:after="0"/>
      </w:pPr>
      <w:r>
        <w:t>Hilfreiche Kommentare u. Ergänzungen sind in eckigen Klammern gefasst.</w:t>
      </w:r>
    </w:p>
    <w:p w14:paraId="6477932E" w14:textId="77777777" w:rsidR="00FA51D1" w:rsidRDefault="00FA51D1" w:rsidP="00FA51D1">
      <w:r>
        <w:t>Stabsstelle S/U = Stabsstelle Sicherheitswesen und Umweltschutz</w:t>
      </w:r>
    </w:p>
    <w:sectPr w:rsidR="00FA51D1" w:rsidSect="00AD1F99">
      <w:headerReference w:type="default" r:id="rId8"/>
      <w:footerReference w:type="default" r:id="rId9"/>
      <w:pgSz w:w="16838" w:h="11906" w:orient="landscape"/>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202D" w14:textId="77777777" w:rsidR="003529AD" w:rsidRDefault="003529AD" w:rsidP="00E727E2">
      <w:pPr>
        <w:spacing w:after="0" w:line="240" w:lineRule="auto"/>
      </w:pPr>
      <w:r>
        <w:separator/>
      </w:r>
    </w:p>
  </w:endnote>
  <w:endnote w:type="continuationSeparator" w:id="0">
    <w:p w14:paraId="7FA93C03" w14:textId="77777777" w:rsidR="003529AD" w:rsidRDefault="003529AD" w:rsidP="00E7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70" w:type="dxa"/>
        <w:right w:w="70" w:type="dxa"/>
      </w:tblCellMar>
      <w:tblLook w:val="0000" w:firstRow="0" w:lastRow="0" w:firstColumn="0" w:lastColumn="0" w:noHBand="0" w:noVBand="0"/>
    </w:tblPr>
    <w:tblGrid>
      <w:gridCol w:w="3157"/>
      <w:gridCol w:w="2387"/>
      <w:gridCol w:w="4957"/>
      <w:gridCol w:w="3501"/>
    </w:tblGrid>
    <w:tr w:rsidR="00AD1F99" w14:paraId="229254A8" w14:textId="77777777" w:rsidTr="008505D3">
      <w:tc>
        <w:tcPr>
          <w:tcW w:w="1127" w:type="pct"/>
        </w:tcPr>
        <w:p w14:paraId="6A652F4F" w14:textId="77777777" w:rsidR="00AD1F99" w:rsidRPr="008A4C40" w:rsidRDefault="00AD1F99" w:rsidP="00AD1F99">
          <w:pPr>
            <w:pStyle w:val="Fuzeile"/>
            <w:widowControl w:val="0"/>
            <w:rPr>
              <w:rFonts w:ascii="Arial" w:hAnsi="Arial" w:cs="Arial"/>
              <w:lang w:val="en-US"/>
            </w:rPr>
          </w:pPr>
          <w:r>
            <w:rPr>
              <w:rFonts w:ascii="Arial" w:hAnsi="Arial" w:cs="Arial"/>
            </w:rPr>
            <w:t xml:space="preserve">Datum: </w:t>
          </w:r>
        </w:p>
      </w:tc>
      <w:tc>
        <w:tcPr>
          <w:tcW w:w="852" w:type="pct"/>
        </w:tcPr>
        <w:p w14:paraId="46D4E9AD" w14:textId="77777777" w:rsidR="00AD1F99" w:rsidRDefault="008505D3" w:rsidP="008505D3">
          <w:pPr>
            <w:pStyle w:val="Fuzeile"/>
            <w:widowControl w:val="0"/>
            <w:rPr>
              <w:rFonts w:ascii="Arial" w:hAnsi="Arial" w:cs="Arial"/>
            </w:rPr>
          </w:pPr>
          <w:r>
            <w:rPr>
              <w:rFonts w:ascii="Arial" w:hAnsi="Arial" w:cs="Arial"/>
            </w:rPr>
            <w:t>Anlass</w:t>
          </w:r>
          <w:r w:rsidR="00AD1F99">
            <w:rPr>
              <w:rFonts w:ascii="Arial" w:hAnsi="Arial" w:cs="Arial"/>
            </w:rPr>
            <w:t>:</w:t>
          </w:r>
        </w:p>
      </w:tc>
      <w:tc>
        <w:tcPr>
          <w:tcW w:w="1770" w:type="pct"/>
        </w:tcPr>
        <w:p w14:paraId="711574FA" w14:textId="77777777" w:rsidR="00AD1F99" w:rsidRDefault="00AD1F99" w:rsidP="00AD1F99">
          <w:pPr>
            <w:pStyle w:val="Fuzeile"/>
            <w:widowControl w:val="0"/>
            <w:rPr>
              <w:rFonts w:ascii="Arial" w:hAnsi="Arial" w:cs="Arial"/>
            </w:rPr>
          </w:pPr>
        </w:p>
      </w:tc>
      <w:tc>
        <w:tcPr>
          <w:tcW w:w="1250" w:type="pct"/>
        </w:tcPr>
        <w:p w14:paraId="5F358092" w14:textId="6081484C" w:rsidR="00AD1F99" w:rsidRDefault="008505D3" w:rsidP="003402CE">
          <w:pPr>
            <w:pStyle w:val="Fuzeile"/>
            <w:widowControl w:val="0"/>
            <w:jc w:val="right"/>
            <w:rPr>
              <w:rFonts w:ascii="Arial" w:hAnsi="Arial" w:cs="Arial"/>
            </w:rPr>
          </w:pPr>
          <w:r>
            <w:rPr>
              <w:rFonts w:ascii="Arial" w:hAnsi="Arial" w:cs="Arial"/>
            </w:rPr>
            <w:t xml:space="preserve">Stand: </w:t>
          </w:r>
          <w:r w:rsidR="008D3EF2">
            <w:rPr>
              <w:rFonts w:ascii="Arial" w:hAnsi="Arial" w:cs="Arial"/>
            </w:rPr>
            <w:t>07.06.2023</w:t>
          </w:r>
        </w:p>
      </w:tc>
    </w:tr>
    <w:tr w:rsidR="00AD1F99" w14:paraId="31519B1F" w14:textId="77777777" w:rsidTr="008505D3">
      <w:tc>
        <w:tcPr>
          <w:tcW w:w="1127" w:type="pct"/>
        </w:tcPr>
        <w:p w14:paraId="62C66EEC" w14:textId="77777777" w:rsidR="00AD1F99" w:rsidRPr="00947B11" w:rsidRDefault="00AD1F99" w:rsidP="00AD1F99">
          <w:pPr>
            <w:pStyle w:val="Fuzeile"/>
            <w:widowControl w:val="0"/>
            <w:rPr>
              <w:rFonts w:ascii="Arial" w:hAnsi="Arial" w:cs="Arial"/>
            </w:rPr>
          </w:pPr>
          <w:r>
            <w:rPr>
              <w:rFonts w:ascii="Arial" w:hAnsi="Arial" w:cs="Arial"/>
            </w:rPr>
            <w:t>Erstellt von:</w:t>
          </w:r>
        </w:p>
      </w:tc>
      <w:tc>
        <w:tcPr>
          <w:tcW w:w="852" w:type="pct"/>
        </w:tcPr>
        <w:p w14:paraId="719A2EEB" w14:textId="77777777" w:rsidR="00AD1F99" w:rsidRDefault="008505D3" w:rsidP="00AD1F99">
          <w:pPr>
            <w:pStyle w:val="Fuzeile"/>
            <w:widowControl w:val="0"/>
            <w:rPr>
              <w:rFonts w:ascii="Arial" w:hAnsi="Arial" w:cs="Arial"/>
            </w:rPr>
          </w:pPr>
          <w:r>
            <w:rPr>
              <w:rFonts w:ascii="Arial" w:hAnsi="Arial" w:cs="Arial"/>
            </w:rPr>
            <w:t>Anwesende Personen:</w:t>
          </w:r>
        </w:p>
      </w:tc>
      <w:tc>
        <w:tcPr>
          <w:tcW w:w="1770" w:type="pct"/>
        </w:tcPr>
        <w:p w14:paraId="4306EFBF" w14:textId="77777777" w:rsidR="00AD1F99" w:rsidRPr="00A447F8" w:rsidRDefault="00AD1F99" w:rsidP="00AD1F99">
          <w:pPr>
            <w:pStyle w:val="Fuzeile"/>
            <w:widowControl w:val="0"/>
            <w:rPr>
              <w:rFonts w:ascii="Arial" w:hAnsi="Arial" w:cs="Arial"/>
            </w:rPr>
          </w:pPr>
        </w:p>
      </w:tc>
      <w:tc>
        <w:tcPr>
          <w:tcW w:w="1250" w:type="pct"/>
        </w:tcPr>
        <w:p w14:paraId="7C284E52" w14:textId="77777777" w:rsidR="00AD1F99" w:rsidRDefault="00AD1F99" w:rsidP="00AD1F99">
          <w:pPr>
            <w:pStyle w:val="Fuzeile"/>
            <w:widowControl w:val="0"/>
            <w:jc w:val="right"/>
            <w:rPr>
              <w:rFonts w:ascii="Arial" w:hAnsi="Arial" w:cs="Arial"/>
            </w:rPr>
          </w:pPr>
          <w:r w:rsidRPr="00783D06">
            <w:rPr>
              <w:rFonts w:ascii="Arial" w:hAnsi="Arial" w:cs="Arial"/>
            </w:rPr>
            <w:t xml:space="preserve">Seite </w:t>
          </w:r>
          <w:r w:rsidRPr="00783D06">
            <w:rPr>
              <w:rFonts w:ascii="Arial" w:hAnsi="Arial" w:cs="Arial"/>
            </w:rPr>
            <w:fldChar w:fldCharType="begin"/>
          </w:r>
          <w:r w:rsidRPr="00783D06">
            <w:rPr>
              <w:rFonts w:ascii="Arial" w:hAnsi="Arial" w:cs="Arial"/>
            </w:rPr>
            <w:instrText xml:space="preserve"> PAGE </w:instrText>
          </w:r>
          <w:r w:rsidRPr="00783D06">
            <w:rPr>
              <w:rFonts w:ascii="Arial" w:hAnsi="Arial" w:cs="Arial"/>
            </w:rPr>
            <w:fldChar w:fldCharType="separate"/>
          </w:r>
          <w:r w:rsidR="003402CE">
            <w:rPr>
              <w:rFonts w:ascii="Arial" w:hAnsi="Arial" w:cs="Arial"/>
              <w:noProof/>
            </w:rPr>
            <w:t>2</w:t>
          </w:r>
          <w:r w:rsidRPr="00783D06">
            <w:rPr>
              <w:rFonts w:ascii="Arial" w:hAnsi="Arial" w:cs="Arial"/>
            </w:rPr>
            <w:fldChar w:fldCharType="end"/>
          </w:r>
          <w:r w:rsidRPr="00783D06">
            <w:rPr>
              <w:rFonts w:ascii="Arial" w:hAnsi="Arial" w:cs="Arial"/>
            </w:rPr>
            <w:t xml:space="preserve"> von </w:t>
          </w:r>
          <w:r w:rsidRPr="00783D06">
            <w:rPr>
              <w:rFonts w:ascii="Arial" w:hAnsi="Arial" w:cs="Arial"/>
            </w:rPr>
            <w:fldChar w:fldCharType="begin"/>
          </w:r>
          <w:r w:rsidRPr="00783D06">
            <w:rPr>
              <w:rFonts w:ascii="Arial" w:hAnsi="Arial" w:cs="Arial"/>
            </w:rPr>
            <w:instrText xml:space="preserve"> NUMPAGES  </w:instrText>
          </w:r>
          <w:r w:rsidRPr="00783D06">
            <w:rPr>
              <w:rFonts w:ascii="Arial" w:hAnsi="Arial" w:cs="Arial"/>
            </w:rPr>
            <w:fldChar w:fldCharType="separate"/>
          </w:r>
          <w:r w:rsidR="003402CE">
            <w:rPr>
              <w:rFonts w:ascii="Arial" w:hAnsi="Arial" w:cs="Arial"/>
              <w:noProof/>
            </w:rPr>
            <w:t>6</w:t>
          </w:r>
          <w:r w:rsidRPr="00783D06">
            <w:rPr>
              <w:rFonts w:ascii="Arial" w:hAnsi="Arial" w:cs="Arial"/>
            </w:rPr>
            <w:fldChar w:fldCharType="end"/>
          </w:r>
        </w:p>
      </w:tc>
    </w:tr>
  </w:tbl>
  <w:p w14:paraId="22B8CD81" w14:textId="77777777" w:rsidR="00E727E2" w:rsidRDefault="00E727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D995" w14:textId="77777777" w:rsidR="003529AD" w:rsidRDefault="003529AD" w:rsidP="00E727E2">
      <w:pPr>
        <w:spacing w:after="0" w:line="240" w:lineRule="auto"/>
      </w:pPr>
      <w:r>
        <w:separator/>
      </w:r>
    </w:p>
  </w:footnote>
  <w:footnote w:type="continuationSeparator" w:id="0">
    <w:p w14:paraId="416563C0" w14:textId="77777777" w:rsidR="003529AD" w:rsidRDefault="003529AD" w:rsidP="00E72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951"/>
      <w:gridCol w:w="10490"/>
      <w:gridCol w:w="1701"/>
    </w:tblGrid>
    <w:tr w:rsidR="00E727E2" w14:paraId="5B73FBCC" w14:textId="77777777" w:rsidTr="00AD1F99">
      <w:trPr>
        <w:trHeight w:hRule="exact" w:val="291"/>
      </w:trPr>
      <w:tc>
        <w:tcPr>
          <w:tcW w:w="1951" w:type="dxa"/>
          <w:vMerge w:val="restart"/>
          <w:tcBorders>
            <w:top w:val="single" w:sz="4" w:space="0" w:color="auto"/>
            <w:bottom w:val="single" w:sz="4" w:space="0" w:color="auto"/>
          </w:tcBorders>
        </w:tcPr>
        <w:p w14:paraId="02659668" w14:textId="4D3CCD01" w:rsidR="00E727E2" w:rsidRPr="00E01423" w:rsidRDefault="008D3EF2" w:rsidP="00524816">
          <w:pPr>
            <w:jc w:val="center"/>
          </w:pPr>
          <w:r>
            <w:rPr>
              <w:noProof/>
              <w:lang w:eastAsia="de-DE"/>
            </w:rPr>
            <w:drawing>
              <wp:anchor distT="0" distB="0" distL="114300" distR="114300" simplePos="0" relativeHeight="251659264" behindDoc="1" locked="0" layoutInCell="1" allowOverlap="1" wp14:anchorId="309184BE" wp14:editId="55557E6E">
                <wp:simplePos x="0" y="0"/>
                <wp:positionH relativeFrom="column">
                  <wp:posOffset>68377</wp:posOffset>
                </wp:positionH>
                <wp:positionV relativeFrom="paragraph">
                  <wp:posOffset>118685</wp:posOffset>
                </wp:positionV>
                <wp:extent cx="784860" cy="784860"/>
                <wp:effectExtent l="0" t="0" r="0" b="0"/>
                <wp:wrapTight wrapText="bothSides">
                  <wp:wrapPolygon edited="0">
                    <wp:start x="6291" y="1049"/>
                    <wp:lineTo x="3670" y="4718"/>
                    <wp:lineTo x="3670" y="6816"/>
                    <wp:lineTo x="5243" y="10485"/>
                    <wp:lineTo x="1573" y="13107"/>
                    <wp:lineTo x="1573" y="19922"/>
                    <wp:lineTo x="19398" y="19922"/>
                    <wp:lineTo x="19398" y="13107"/>
                    <wp:lineTo x="17825" y="10485"/>
                    <wp:lineTo x="14155" y="1049"/>
                    <wp:lineTo x="6291" y="1049"/>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E_Logo_Kompakt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p>
      </w:tc>
      <w:tc>
        <w:tcPr>
          <w:tcW w:w="10490" w:type="dxa"/>
          <w:tcBorders>
            <w:top w:val="single" w:sz="4" w:space="0" w:color="auto"/>
          </w:tcBorders>
          <w:vAlign w:val="center"/>
        </w:tcPr>
        <w:p w14:paraId="0E47B8CD" w14:textId="77777777" w:rsidR="00E727E2" w:rsidRPr="00E727E2" w:rsidRDefault="00E727E2" w:rsidP="00E727E2">
          <w:pPr>
            <w:pStyle w:val="Vorgabetext"/>
            <w:widowControl/>
            <w:jc w:val="center"/>
            <w:rPr>
              <w:sz w:val="16"/>
              <w:szCs w:val="16"/>
            </w:rPr>
          </w:pPr>
          <w:r w:rsidRPr="00E727E2">
            <w:rPr>
              <w:rFonts w:ascii="Arial" w:hAnsi="Arial" w:cs="Arial"/>
              <w:sz w:val="16"/>
              <w:szCs w:val="16"/>
            </w:rPr>
            <w:t>GEORG-AUGUST-UNIVERSITÄT: Stabsstelle Sicherheitswesen/Umweltschutz</w:t>
          </w:r>
        </w:p>
      </w:tc>
      <w:tc>
        <w:tcPr>
          <w:tcW w:w="1701" w:type="dxa"/>
          <w:vMerge w:val="restart"/>
          <w:tcBorders>
            <w:top w:val="single" w:sz="4" w:space="0" w:color="auto"/>
            <w:bottom w:val="single" w:sz="4" w:space="0" w:color="auto"/>
          </w:tcBorders>
        </w:tcPr>
        <w:p w14:paraId="7089399C" w14:textId="77777777" w:rsidR="00E727E2" w:rsidRDefault="00E727E2" w:rsidP="00524816">
          <w:pPr>
            <w:pStyle w:val="Vorgabetext"/>
            <w:widowControl/>
            <w:jc w:val="center"/>
          </w:pPr>
          <w:r>
            <w:rPr>
              <w:noProof/>
            </w:rPr>
            <w:drawing>
              <wp:anchor distT="0" distB="0" distL="114300" distR="114300" simplePos="0" relativeHeight="251658240" behindDoc="0" locked="0" layoutInCell="1" allowOverlap="1" wp14:anchorId="767A0391" wp14:editId="41E7B974">
                <wp:simplePos x="0" y="0"/>
                <wp:positionH relativeFrom="column">
                  <wp:posOffset>14912</wp:posOffset>
                </wp:positionH>
                <wp:positionV relativeFrom="paragraph">
                  <wp:posOffset>117475</wp:posOffset>
                </wp:positionV>
                <wp:extent cx="962660" cy="299720"/>
                <wp:effectExtent l="0" t="0" r="8890" b="508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62660" cy="299720"/>
                        </a:xfrm>
                        <a:prstGeom prst="rect">
                          <a:avLst/>
                        </a:prstGeom>
                        <a:noFill/>
                      </pic:spPr>
                    </pic:pic>
                  </a:graphicData>
                </a:graphic>
              </wp:anchor>
            </w:drawing>
          </w:r>
        </w:p>
      </w:tc>
    </w:tr>
    <w:tr w:rsidR="00E727E2" w14:paraId="2B8ED65E" w14:textId="77777777" w:rsidTr="00AD1F99">
      <w:trPr>
        <w:trHeight w:val="262"/>
      </w:trPr>
      <w:tc>
        <w:tcPr>
          <w:tcW w:w="1951" w:type="dxa"/>
          <w:vMerge/>
          <w:tcBorders>
            <w:top w:val="single" w:sz="4" w:space="0" w:color="auto"/>
            <w:bottom w:val="single" w:sz="4" w:space="0" w:color="auto"/>
          </w:tcBorders>
        </w:tcPr>
        <w:p w14:paraId="0B8FB121" w14:textId="77777777" w:rsidR="00E727E2" w:rsidRDefault="00E727E2" w:rsidP="00524816">
          <w:pPr>
            <w:pStyle w:val="Vorgabetext"/>
          </w:pPr>
        </w:p>
      </w:tc>
      <w:tc>
        <w:tcPr>
          <w:tcW w:w="10490" w:type="dxa"/>
        </w:tcPr>
        <w:p w14:paraId="228B07AC" w14:textId="77777777" w:rsidR="00E727E2" w:rsidRPr="00295A55" w:rsidRDefault="00E727E2" w:rsidP="00524816">
          <w:pPr>
            <w:pStyle w:val="Vorgabetext"/>
            <w:widowControl/>
            <w:jc w:val="center"/>
            <w:rPr>
              <w:rFonts w:ascii="Arial" w:hAnsi="Arial" w:cs="Arial"/>
              <w:b/>
              <w:bCs/>
              <w:szCs w:val="24"/>
            </w:rPr>
          </w:pPr>
          <w:r w:rsidRPr="00295A55">
            <w:rPr>
              <w:rFonts w:ascii="Arial" w:hAnsi="Arial" w:cs="Arial"/>
              <w:b/>
              <w:bCs/>
              <w:szCs w:val="24"/>
            </w:rPr>
            <w:t>Informationen für Uni</w:t>
          </w:r>
          <w:r w:rsidR="00A25EA6">
            <w:rPr>
              <w:rFonts w:ascii="Arial" w:hAnsi="Arial" w:cs="Arial"/>
              <w:b/>
              <w:bCs/>
              <w:szCs w:val="24"/>
            </w:rPr>
            <w:t>versität</w:t>
          </w:r>
          <w:r w:rsidRPr="00295A55">
            <w:rPr>
              <w:rFonts w:ascii="Arial" w:hAnsi="Arial" w:cs="Arial"/>
              <w:b/>
              <w:bCs/>
              <w:szCs w:val="24"/>
            </w:rPr>
            <w:t>/UMG</w:t>
          </w:r>
        </w:p>
      </w:tc>
      <w:tc>
        <w:tcPr>
          <w:tcW w:w="1701" w:type="dxa"/>
          <w:vMerge/>
          <w:tcBorders>
            <w:bottom w:val="single" w:sz="4" w:space="0" w:color="auto"/>
          </w:tcBorders>
        </w:tcPr>
        <w:p w14:paraId="4AB20C4E" w14:textId="77777777" w:rsidR="00E727E2" w:rsidRDefault="00E727E2" w:rsidP="00524816">
          <w:pPr>
            <w:pStyle w:val="Vorgabetext"/>
            <w:widowControl/>
            <w:jc w:val="center"/>
            <w:rPr>
              <w:rFonts w:ascii="Arial" w:hAnsi="Arial" w:cs="Arial"/>
              <w:b/>
              <w:bCs/>
              <w:sz w:val="28"/>
            </w:rPr>
          </w:pPr>
        </w:p>
      </w:tc>
    </w:tr>
    <w:tr w:rsidR="00E727E2" w14:paraId="4C28D194" w14:textId="77777777" w:rsidTr="00AD1F99">
      <w:trPr>
        <w:trHeight w:hRule="exact" w:val="302"/>
      </w:trPr>
      <w:tc>
        <w:tcPr>
          <w:tcW w:w="1951" w:type="dxa"/>
          <w:vMerge/>
          <w:tcBorders>
            <w:top w:val="single" w:sz="4" w:space="0" w:color="auto"/>
            <w:bottom w:val="single" w:sz="4" w:space="0" w:color="auto"/>
          </w:tcBorders>
        </w:tcPr>
        <w:p w14:paraId="21C2994F" w14:textId="77777777" w:rsidR="00E727E2" w:rsidRDefault="00E727E2" w:rsidP="00524816">
          <w:pPr>
            <w:pStyle w:val="Vorgabetext"/>
          </w:pPr>
        </w:p>
      </w:tc>
      <w:tc>
        <w:tcPr>
          <w:tcW w:w="10490" w:type="dxa"/>
        </w:tcPr>
        <w:p w14:paraId="41803847" w14:textId="77777777" w:rsidR="00E727E2" w:rsidRPr="00295A55" w:rsidRDefault="00E727E2" w:rsidP="00524816">
          <w:pPr>
            <w:pStyle w:val="Vorgabetext"/>
            <w:widowControl/>
            <w:jc w:val="center"/>
            <w:rPr>
              <w:rFonts w:ascii="Arial" w:hAnsi="Arial" w:cs="Arial"/>
              <w:b/>
              <w:bCs/>
              <w:color w:val="000000"/>
              <w:szCs w:val="24"/>
            </w:rPr>
          </w:pPr>
          <w:r w:rsidRPr="0057123C">
            <w:rPr>
              <w:rFonts w:ascii="Arial" w:hAnsi="Arial" w:cs="Arial"/>
              <w:b/>
              <w:bCs/>
              <w:color w:val="000000" w:themeColor="text1"/>
              <w:szCs w:val="24"/>
            </w:rPr>
            <w:t>Checkliste</w:t>
          </w:r>
        </w:p>
      </w:tc>
      <w:tc>
        <w:tcPr>
          <w:tcW w:w="1701" w:type="dxa"/>
          <w:vMerge/>
          <w:tcBorders>
            <w:bottom w:val="single" w:sz="4" w:space="0" w:color="auto"/>
          </w:tcBorders>
        </w:tcPr>
        <w:p w14:paraId="6EFBC7B1" w14:textId="77777777" w:rsidR="00E727E2" w:rsidRDefault="00E727E2" w:rsidP="00524816">
          <w:pPr>
            <w:pStyle w:val="Vorgabetext"/>
            <w:widowControl/>
            <w:rPr>
              <w:rFonts w:ascii="Arial" w:hAnsi="Arial" w:cs="Arial"/>
              <w:b/>
              <w:bCs/>
              <w:color w:val="000000"/>
            </w:rPr>
          </w:pPr>
        </w:p>
      </w:tc>
    </w:tr>
    <w:tr w:rsidR="00E727E2" w14:paraId="65220DFF" w14:textId="77777777" w:rsidTr="00AD1F99">
      <w:trPr>
        <w:trHeight w:hRule="exact" w:val="683"/>
      </w:trPr>
      <w:tc>
        <w:tcPr>
          <w:tcW w:w="1951" w:type="dxa"/>
          <w:vMerge/>
          <w:tcBorders>
            <w:top w:val="single" w:sz="4" w:space="0" w:color="auto"/>
            <w:bottom w:val="single" w:sz="4" w:space="0" w:color="auto"/>
          </w:tcBorders>
        </w:tcPr>
        <w:p w14:paraId="54FCF368" w14:textId="77777777" w:rsidR="00E727E2" w:rsidRDefault="00E727E2" w:rsidP="00524816">
          <w:pPr>
            <w:pStyle w:val="Vorgabetext"/>
            <w:widowControl/>
            <w:rPr>
              <w:rFonts w:ascii="Arial" w:hAnsi="Arial" w:cs="Arial"/>
              <w:b/>
              <w:bCs/>
              <w:color w:val="0000FF"/>
            </w:rPr>
          </w:pPr>
        </w:p>
      </w:tc>
      <w:tc>
        <w:tcPr>
          <w:tcW w:w="10490" w:type="dxa"/>
          <w:tcBorders>
            <w:bottom w:val="single" w:sz="4" w:space="0" w:color="auto"/>
          </w:tcBorders>
        </w:tcPr>
        <w:p w14:paraId="0712B20E" w14:textId="77777777" w:rsidR="00944402" w:rsidRPr="00944402" w:rsidRDefault="00944402" w:rsidP="00944402">
          <w:pPr>
            <w:pStyle w:val="Vorgabetext"/>
            <w:widowControl/>
            <w:jc w:val="center"/>
            <w:rPr>
              <w:rFonts w:ascii="Arial" w:hAnsi="Arial" w:cs="Arial"/>
              <w:b/>
              <w:bCs/>
              <w:color w:val="FF0000"/>
              <w:szCs w:val="24"/>
            </w:rPr>
          </w:pPr>
          <w:r w:rsidRPr="00944402">
            <w:rPr>
              <w:rFonts w:ascii="Arial" w:hAnsi="Arial" w:cs="Arial"/>
              <w:b/>
              <w:bCs/>
              <w:color w:val="FF0000"/>
              <w:szCs w:val="24"/>
            </w:rPr>
            <w:t>Biostoff Labor:</w:t>
          </w:r>
        </w:p>
        <w:p w14:paraId="73456B52" w14:textId="77777777" w:rsidR="00944402" w:rsidRPr="00295A55" w:rsidRDefault="003842DF" w:rsidP="00944402">
          <w:pPr>
            <w:pStyle w:val="Vorgabetext"/>
            <w:widowControl/>
            <w:jc w:val="center"/>
            <w:rPr>
              <w:rFonts w:ascii="Arial" w:hAnsi="Arial" w:cs="Arial"/>
              <w:b/>
              <w:bCs/>
              <w:color w:val="0000FF"/>
              <w:szCs w:val="24"/>
            </w:rPr>
          </w:pPr>
          <w:r>
            <w:rPr>
              <w:rFonts w:ascii="Arial" w:hAnsi="Arial" w:cs="Arial"/>
              <w:b/>
              <w:bCs/>
              <w:color w:val="0000FF"/>
              <w:szCs w:val="24"/>
            </w:rPr>
            <w:t>Zusätzliche Schutzmaßnahmen für Tätigkeiten mit Risikogruppe 3(**)</w:t>
          </w:r>
        </w:p>
        <w:p w14:paraId="49331762" w14:textId="77777777" w:rsidR="00E727E2" w:rsidRPr="00295A55" w:rsidRDefault="00E727E2" w:rsidP="00524816">
          <w:pPr>
            <w:pStyle w:val="Vorgabetext"/>
            <w:widowControl/>
            <w:jc w:val="center"/>
            <w:rPr>
              <w:rFonts w:ascii="Arial" w:hAnsi="Arial" w:cs="Arial"/>
              <w:b/>
              <w:bCs/>
              <w:color w:val="0000FF"/>
              <w:szCs w:val="24"/>
            </w:rPr>
          </w:pPr>
        </w:p>
      </w:tc>
      <w:tc>
        <w:tcPr>
          <w:tcW w:w="1701" w:type="dxa"/>
          <w:vMerge/>
          <w:tcBorders>
            <w:bottom w:val="single" w:sz="4" w:space="0" w:color="auto"/>
          </w:tcBorders>
        </w:tcPr>
        <w:p w14:paraId="4814E856" w14:textId="77777777" w:rsidR="00E727E2" w:rsidRDefault="00E727E2" w:rsidP="00524816">
          <w:pPr>
            <w:pStyle w:val="Vorgabetext"/>
            <w:widowControl/>
            <w:rPr>
              <w:rFonts w:ascii="Arial" w:hAnsi="Arial" w:cs="Arial"/>
              <w:b/>
              <w:bCs/>
              <w:color w:val="0000FF"/>
            </w:rPr>
          </w:pPr>
        </w:p>
      </w:tc>
    </w:tr>
  </w:tbl>
  <w:p w14:paraId="667FD8E9" w14:textId="77777777" w:rsidR="00E727E2" w:rsidRDefault="00E727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433"/>
    <w:multiLevelType w:val="hybridMultilevel"/>
    <w:tmpl w:val="17A699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3728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70E39"/>
    <w:multiLevelType w:val="hybridMultilevel"/>
    <w:tmpl w:val="893068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5F4DBB"/>
    <w:multiLevelType w:val="hybridMultilevel"/>
    <w:tmpl w:val="9C6085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BF360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70FD4"/>
    <w:multiLevelType w:val="hybridMultilevel"/>
    <w:tmpl w:val="B4CEDD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B47953"/>
    <w:multiLevelType w:val="hybridMultilevel"/>
    <w:tmpl w:val="58D084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72D07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2A65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9F34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757A4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32372"/>
    <w:multiLevelType w:val="hybridMultilevel"/>
    <w:tmpl w:val="F6B2C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0429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DE60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9C157C"/>
    <w:multiLevelType w:val="hybridMultilevel"/>
    <w:tmpl w:val="D2383F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A7515E"/>
    <w:multiLevelType w:val="hybridMultilevel"/>
    <w:tmpl w:val="817E5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9F2ABE"/>
    <w:multiLevelType w:val="hybridMultilevel"/>
    <w:tmpl w:val="0B1477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73766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3324ED"/>
    <w:multiLevelType w:val="hybridMultilevel"/>
    <w:tmpl w:val="B0D09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C164B3"/>
    <w:multiLevelType w:val="hybridMultilevel"/>
    <w:tmpl w:val="049416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654C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2182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C04880"/>
    <w:multiLevelType w:val="hybridMultilevel"/>
    <w:tmpl w:val="1A00F5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2A7955"/>
    <w:multiLevelType w:val="hybridMultilevel"/>
    <w:tmpl w:val="234EB4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1078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80399D"/>
    <w:multiLevelType w:val="hybridMultilevel"/>
    <w:tmpl w:val="D7EAE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EB40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7230B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BC3E1A"/>
    <w:multiLevelType w:val="hybridMultilevel"/>
    <w:tmpl w:val="668459FA"/>
    <w:lvl w:ilvl="0" w:tplc="512A341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2A1CA6"/>
    <w:multiLevelType w:val="hybridMultilevel"/>
    <w:tmpl w:val="62F24F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28D767B"/>
    <w:multiLevelType w:val="hybridMultilevel"/>
    <w:tmpl w:val="34285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0C7DF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8A53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640968"/>
    <w:multiLevelType w:val="hybridMultilevel"/>
    <w:tmpl w:val="14F0C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D8F45D8"/>
    <w:multiLevelType w:val="hybridMultilevel"/>
    <w:tmpl w:val="89F052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596DA7"/>
    <w:multiLevelType w:val="hybridMultilevel"/>
    <w:tmpl w:val="FE466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37932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4C694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3216F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5B0C4A"/>
    <w:multiLevelType w:val="hybridMultilevel"/>
    <w:tmpl w:val="2EE0A3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D643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8"/>
  </w:num>
  <w:num w:numId="3">
    <w:abstractNumId w:val="24"/>
  </w:num>
  <w:num w:numId="4">
    <w:abstractNumId w:val="26"/>
  </w:num>
  <w:num w:numId="5">
    <w:abstractNumId w:val="5"/>
  </w:num>
  <w:num w:numId="6">
    <w:abstractNumId w:val="28"/>
  </w:num>
  <w:num w:numId="7">
    <w:abstractNumId w:val="10"/>
  </w:num>
  <w:num w:numId="8">
    <w:abstractNumId w:val="27"/>
  </w:num>
  <w:num w:numId="9">
    <w:abstractNumId w:val="31"/>
  </w:num>
  <w:num w:numId="10">
    <w:abstractNumId w:val="1"/>
  </w:num>
  <w:num w:numId="11">
    <w:abstractNumId w:val="16"/>
  </w:num>
  <w:num w:numId="12">
    <w:abstractNumId w:val="3"/>
  </w:num>
  <w:num w:numId="13">
    <w:abstractNumId w:val="0"/>
  </w:num>
  <w:num w:numId="14">
    <w:abstractNumId w:val="14"/>
  </w:num>
  <w:num w:numId="15">
    <w:abstractNumId w:val="11"/>
  </w:num>
  <w:num w:numId="16">
    <w:abstractNumId w:val="25"/>
  </w:num>
  <w:num w:numId="17">
    <w:abstractNumId w:val="19"/>
  </w:num>
  <w:num w:numId="18">
    <w:abstractNumId w:val="23"/>
  </w:num>
  <w:num w:numId="19">
    <w:abstractNumId w:val="29"/>
  </w:num>
  <w:num w:numId="20">
    <w:abstractNumId w:val="34"/>
  </w:num>
  <w:num w:numId="21">
    <w:abstractNumId w:val="32"/>
  </w:num>
  <w:num w:numId="22">
    <w:abstractNumId w:val="13"/>
  </w:num>
  <w:num w:numId="23">
    <w:abstractNumId w:val="30"/>
  </w:num>
  <w:num w:numId="24">
    <w:abstractNumId w:val="20"/>
  </w:num>
  <w:num w:numId="25">
    <w:abstractNumId w:val="37"/>
  </w:num>
  <w:num w:numId="26">
    <w:abstractNumId w:val="22"/>
  </w:num>
  <w:num w:numId="27">
    <w:abstractNumId w:val="39"/>
  </w:num>
  <w:num w:numId="28">
    <w:abstractNumId w:val="35"/>
  </w:num>
  <w:num w:numId="29">
    <w:abstractNumId w:val="2"/>
  </w:num>
  <w:num w:numId="30">
    <w:abstractNumId w:val="15"/>
  </w:num>
  <w:num w:numId="31">
    <w:abstractNumId w:val="9"/>
  </w:num>
  <w:num w:numId="32">
    <w:abstractNumId w:val="40"/>
  </w:num>
  <w:num w:numId="33">
    <w:abstractNumId w:val="6"/>
  </w:num>
  <w:num w:numId="34">
    <w:abstractNumId w:val="8"/>
  </w:num>
  <w:num w:numId="35">
    <w:abstractNumId w:val="4"/>
  </w:num>
  <w:num w:numId="36">
    <w:abstractNumId w:val="12"/>
  </w:num>
  <w:num w:numId="37">
    <w:abstractNumId w:val="17"/>
  </w:num>
  <w:num w:numId="38">
    <w:abstractNumId w:val="33"/>
  </w:num>
  <w:num w:numId="39">
    <w:abstractNumId w:val="18"/>
  </w:num>
  <w:num w:numId="40">
    <w:abstractNumId w:val="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CB"/>
    <w:rsid w:val="00006DF0"/>
    <w:rsid w:val="00007828"/>
    <w:rsid w:val="0001769F"/>
    <w:rsid w:val="000334F3"/>
    <w:rsid w:val="00040EDD"/>
    <w:rsid w:val="00043747"/>
    <w:rsid w:val="000461B4"/>
    <w:rsid w:val="0008416D"/>
    <w:rsid w:val="0008742B"/>
    <w:rsid w:val="00095D60"/>
    <w:rsid w:val="000A334F"/>
    <w:rsid w:val="000B0ED6"/>
    <w:rsid w:val="000D1512"/>
    <w:rsid w:val="000E7563"/>
    <w:rsid w:val="001244D9"/>
    <w:rsid w:val="001723CE"/>
    <w:rsid w:val="00172E8F"/>
    <w:rsid w:val="001830A2"/>
    <w:rsid w:val="0018600C"/>
    <w:rsid w:val="001B2E7F"/>
    <w:rsid w:val="001D2F87"/>
    <w:rsid w:val="001D3D91"/>
    <w:rsid w:val="001E05A1"/>
    <w:rsid w:val="001E252E"/>
    <w:rsid w:val="001E3922"/>
    <w:rsid w:val="001E4245"/>
    <w:rsid w:val="001E7C5A"/>
    <w:rsid w:val="00220E8B"/>
    <w:rsid w:val="0022626C"/>
    <w:rsid w:val="00241387"/>
    <w:rsid w:val="00266FED"/>
    <w:rsid w:val="00280917"/>
    <w:rsid w:val="002A6385"/>
    <w:rsid w:val="002D03A4"/>
    <w:rsid w:val="002D4EBD"/>
    <w:rsid w:val="002F35F7"/>
    <w:rsid w:val="00311ACB"/>
    <w:rsid w:val="00315FBF"/>
    <w:rsid w:val="003402CE"/>
    <w:rsid w:val="003529AD"/>
    <w:rsid w:val="0035468D"/>
    <w:rsid w:val="0036273B"/>
    <w:rsid w:val="003842DF"/>
    <w:rsid w:val="00386284"/>
    <w:rsid w:val="003E6960"/>
    <w:rsid w:val="003F00F3"/>
    <w:rsid w:val="003F30E4"/>
    <w:rsid w:val="003F5873"/>
    <w:rsid w:val="00415034"/>
    <w:rsid w:val="004212D4"/>
    <w:rsid w:val="00430A4C"/>
    <w:rsid w:val="00431EFA"/>
    <w:rsid w:val="004331BB"/>
    <w:rsid w:val="00455AB9"/>
    <w:rsid w:val="00482EB9"/>
    <w:rsid w:val="004B5CAC"/>
    <w:rsid w:val="004B6205"/>
    <w:rsid w:val="004C7A34"/>
    <w:rsid w:val="004D3822"/>
    <w:rsid w:val="004F29CE"/>
    <w:rsid w:val="0053469D"/>
    <w:rsid w:val="00542E88"/>
    <w:rsid w:val="00560F7D"/>
    <w:rsid w:val="00562161"/>
    <w:rsid w:val="0057123C"/>
    <w:rsid w:val="0058195F"/>
    <w:rsid w:val="005857EA"/>
    <w:rsid w:val="00594802"/>
    <w:rsid w:val="005B18C9"/>
    <w:rsid w:val="005C74A8"/>
    <w:rsid w:val="005C7EF9"/>
    <w:rsid w:val="005F7292"/>
    <w:rsid w:val="006137B7"/>
    <w:rsid w:val="006262C4"/>
    <w:rsid w:val="00632FCA"/>
    <w:rsid w:val="00650E86"/>
    <w:rsid w:val="0068096F"/>
    <w:rsid w:val="00696CEC"/>
    <w:rsid w:val="006C2A14"/>
    <w:rsid w:val="006E3AAA"/>
    <w:rsid w:val="006E6120"/>
    <w:rsid w:val="00715C7F"/>
    <w:rsid w:val="00722314"/>
    <w:rsid w:val="00747FE9"/>
    <w:rsid w:val="00755E23"/>
    <w:rsid w:val="007B3511"/>
    <w:rsid w:val="007D5064"/>
    <w:rsid w:val="007E64E9"/>
    <w:rsid w:val="00804259"/>
    <w:rsid w:val="0080649C"/>
    <w:rsid w:val="00811705"/>
    <w:rsid w:val="0081524A"/>
    <w:rsid w:val="00831D8D"/>
    <w:rsid w:val="008505D3"/>
    <w:rsid w:val="00856336"/>
    <w:rsid w:val="00862BEA"/>
    <w:rsid w:val="0087233F"/>
    <w:rsid w:val="0088614C"/>
    <w:rsid w:val="00887EC1"/>
    <w:rsid w:val="008A4C40"/>
    <w:rsid w:val="008A5478"/>
    <w:rsid w:val="008A7435"/>
    <w:rsid w:val="008D3EF2"/>
    <w:rsid w:val="008E4675"/>
    <w:rsid w:val="008F05E6"/>
    <w:rsid w:val="008F35E2"/>
    <w:rsid w:val="008F422E"/>
    <w:rsid w:val="00916EA4"/>
    <w:rsid w:val="00935925"/>
    <w:rsid w:val="00944402"/>
    <w:rsid w:val="00970F1D"/>
    <w:rsid w:val="00990E7B"/>
    <w:rsid w:val="009A2C2D"/>
    <w:rsid w:val="009D666A"/>
    <w:rsid w:val="00A15C2F"/>
    <w:rsid w:val="00A25EA6"/>
    <w:rsid w:val="00A549E0"/>
    <w:rsid w:val="00A86D1B"/>
    <w:rsid w:val="00AB797F"/>
    <w:rsid w:val="00AC096C"/>
    <w:rsid w:val="00AC29A4"/>
    <w:rsid w:val="00AD1F99"/>
    <w:rsid w:val="00AF4C0B"/>
    <w:rsid w:val="00B363B8"/>
    <w:rsid w:val="00B41C2C"/>
    <w:rsid w:val="00B55155"/>
    <w:rsid w:val="00B57173"/>
    <w:rsid w:val="00B64AB0"/>
    <w:rsid w:val="00B8678B"/>
    <w:rsid w:val="00BB006A"/>
    <w:rsid w:val="00BC154F"/>
    <w:rsid w:val="00BC3BB9"/>
    <w:rsid w:val="00BF6F24"/>
    <w:rsid w:val="00C016C3"/>
    <w:rsid w:val="00C20CF2"/>
    <w:rsid w:val="00C35FA4"/>
    <w:rsid w:val="00C57F85"/>
    <w:rsid w:val="00C64AE0"/>
    <w:rsid w:val="00CB1CD7"/>
    <w:rsid w:val="00CB4AF0"/>
    <w:rsid w:val="00CC3E38"/>
    <w:rsid w:val="00CD2123"/>
    <w:rsid w:val="00CE2C94"/>
    <w:rsid w:val="00CF2BC1"/>
    <w:rsid w:val="00CF6D06"/>
    <w:rsid w:val="00D133DC"/>
    <w:rsid w:val="00D15EC6"/>
    <w:rsid w:val="00D45A82"/>
    <w:rsid w:val="00D73A5C"/>
    <w:rsid w:val="00D8123C"/>
    <w:rsid w:val="00DC507C"/>
    <w:rsid w:val="00DC67E8"/>
    <w:rsid w:val="00E02E8D"/>
    <w:rsid w:val="00E04DD6"/>
    <w:rsid w:val="00E26A19"/>
    <w:rsid w:val="00E3301A"/>
    <w:rsid w:val="00E358C1"/>
    <w:rsid w:val="00E46B6C"/>
    <w:rsid w:val="00E637DE"/>
    <w:rsid w:val="00E727E2"/>
    <w:rsid w:val="00E80AF1"/>
    <w:rsid w:val="00E8494A"/>
    <w:rsid w:val="00E95E7F"/>
    <w:rsid w:val="00EB7620"/>
    <w:rsid w:val="00EC2D68"/>
    <w:rsid w:val="00ED2498"/>
    <w:rsid w:val="00F01537"/>
    <w:rsid w:val="00F13B67"/>
    <w:rsid w:val="00F2779A"/>
    <w:rsid w:val="00F528B5"/>
    <w:rsid w:val="00F56FF6"/>
    <w:rsid w:val="00F61AE2"/>
    <w:rsid w:val="00F65C6C"/>
    <w:rsid w:val="00F665EA"/>
    <w:rsid w:val="00F71F23"/>
    <w:rsid w:val="00FA51D1"/>
    <w:rsid w:val="00FB46C2"/>
    <w:rsid w:val="00FD43A9"/>
    <w:rsid w:val="00FD5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7B0C"/>
  <w15:docId w15:val="{F1E94D8A-6B39-4B3C-88EE-FB8387CB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7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1ACB"/>
    <w:pPr>
      <w:ind w:left="720"/>
      <w:contextualSpacing/>
    </w:pPr>
  </w:style>
  <w:style w:type="character" w:customStyle="1" w:styleId="berschrift1Zchn">
    <w:name w:val="Überschrift 1 Zchn"/>
    <w:basedOn w:val="Absatz-Standardschriftart"/>
    <w:link w:val="berschrift1"/>
    <w:uiPriority w:val="9"/>
    <w:rsid w:val="005F729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015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537"/>
    <w:rPr>
      <w:rFonts w:ascii="Tahoma" w:hAnsi="Tahoma" w:cs="Tahoma"/>
      <w:sz w:val="16"/>
      <w:szCs w:val="16"/>
    </w:rPr>
  </w:style>
  <w:style w:type="paragraph" w:styleId="Kopfzeile">
    <w:name w:val="header"/>
    <w:basedOn w:val="Standard"/>
    <w:link w:val="KopfzeileZchn"/>
    <w:uiPriority w:val="99"/>
    <w:unhideWhenUsed/>
    <w:rsid w:val="00E72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E2"/>
  </w:style>
  <w:style w:type="paragraph" w:styleId="Fuzeile">
    <w:name w:val="footer"/>
    <w:basedOn w:val="Standard"/>
    <w:link w:val="FuzeileZchn"/>
    <w:unhideWhenUsed/>
    <w:rsid w:val="00E727E2"/>
    <w:pPr>
      <w:tabs>
        <w:tab w:val="center" w:pos="4536"/>
        <w:tab w:val="right" w:pos="9072"/>
      </w:tabs>
      <w:spacing w:after="0" w:line="240" w:lineRule="auto"/>
    </w:pPr>
  </w:style>
  <w:style w:type="character" w:customStyle="1" w:styleId="FuzeileZchn">
    <w:name w:val="Fußzeile Zchn"/>
    <w:basedOn w:val="Absatz-Standardschriftart"/>
    <w:link w:val="Fuzeile"/>
    <w:rsid w:val="00E727E2"/>
  </w:style>
  <w:style w:type="paragraph" w:customStyle="1" w:styleId="Vorgabetext">
    <w:name w:val="Vorgabetext"/>
    <w:basedOn w:val="Standard"/>
    <w:rsid w:val="00E727E2"/>
    <w:pPr>
      <w:widowControl w:val="0"/>
      <w:snapToGrid w:val="0"/>
      <w:spacing w:after="0" w:line="240" w:lineRule="auto"/>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DC57-794B-4234-ACFE-A0BBE5E8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6346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2</cp:revision>
  <cp:lastPrinted>2020-06-10T06:52:00Z</cp:lastPrinted>
  <dcterms:created xsi:type="dcterms:W3CDTF">2023-06-07T07:58:00Z</dcterms:created>
  <dcterms:modified xsi:type="dcterms:W3CDTF">2023-06-07T07:58:00Z</dcterms:modified>
</cp:coreProperties>
</file>