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0EE" w:rsidRDefault="0001635A" w:rsidP="00C40C24">
      <w:pPr>
        <w:jc w:val="both"/>
      </w:pPr>
      <w:r>
        <w:t xml:space="preserve">Für die Nutzung von Fermentern gelten die Vorgaben der GenTSV hinsichtlich des </w:t>
      </w:r>
      <w:r w:rsidR="00C40C24">
        <w:t>P</w:t>
      </w:r>
      <w:r>
        <w:t xml:space="preserve">roduktionsbereiches, denn dieser ist „dadurch gekennzeichnet, dass in ihm </w:t>
      </w:r>
      <w:r w:rsidR="00032086">
        <w:t xml:space="preserve">GVOs </w:t>
      </w:r>
      <w:r>
        <w:t>vermehrt oder mit ihrer Hilfe Substanzen gewonnen werden, wobei der Umgang mit diesen Organismen in weitgehend geschlossenen Apparaturen stattfindet.</w:t>
      </w:r>
      <w:r w:rsidR="00032086">
        <w:t>“ (siehe GenTSV, Anhang III B, Ziffer I und II).</w:t>
      </w:r>
    </w:p>
    <w:tbl>
      <w:tblPr>
        <w:tblStyle w:val="Tabellenraster"/>
        <w:tblW w:w="15134" w:type="dxa"/>
        <w:tblLayout w:type="fixed"/>
        <w:tblLook w:val="04A0" w:firstRow="1" w:lastRow="0" w:firstColumn="1" w:lastColumn="0" w:noHBand="0" w:noVBand="1"/>
      </w:tblPr>
      <w:tblGrid>
        <w:gridCol w:w="1809"/>
        <w:gridCol w:w="6379"/>
        <w:gridCol w:w="1276"/>
        <w:gridCol w:w="567"/>
        <w:gridCol w:w="567"/>
        <w:gridCol w:w="709"/>
        <w:gridCol w:w="3827"/>
      </w:tblGrid>
      <w:tr w:rsidR="00F72971" w:rsidRPr="002855C1" w:rsidTr="00164CC0">
        <w:trPr>
          <w:cantSplit/>
          <w:trHeight w:val="423"/>
          <w:tblHeader/>
        </w:trPr>
        <w:tc>
          <w:tcPr>
            <w:tcW w:w="1809" w:type="dxa"/>
            <w:vMerge w:val="restart"/>
            <w:shd w:val="clear" w:color="auto" w:fill="D9D9D9" w:themeFill="background1" w:themeFillShade="D9"/>
            <w:vAlign w:val="center"/>
          </w:tcPr>
          <w:p w:rsidR="00F72971" w:rsidRPr="002855C1" w:rsidRDefault="00F72971" w:rsidP="00F72971">
            <w:pPr>
              <w:jc w:val="center"/>
              <w:rPr>
                <w:b/>
              </w:rPr>
            </w:pPr>
            <w:r w:rsidRPr="002855C1">
              <w:rPr>
                <w:b/>
              </w:rPr>
              <w:t>Thema</w:t>
            </w:r>
          </w:p>
        </w:tc>
        <w:tc>
          <w:tcPr>
            <w:tcW w:w="6379" w:type="dxa"/>
            <w:vMerge w:val="restart"/>
            <w:shd w:val="clear" w:color="auto" w:fill="D9D9D9" w:themeFill="background1" w:themeFillShade="D9"/>
            <w:vAlign w:val="center"/>
          </w:tcPr>
          <w:p w:rsidR="00F72971" w:rsidRPr="002855C1" w:rsidRDefault="00F72971" w:rsidP="00F72971">
            <w:pPr>
              <w:jc w:val="center"/>
              <w:rPr>
                <w:b/>
              </w:rPr>
            </w:pPr>
            <w:r w:rsidRPr="002855C1">
              <w:rPr>
                <w:b/>
              </w:rPr>
              <w:t>Anforderung</w:t>
            </w:r>
          </w:p>
        </w:tc>
        <w:tc>
          <w:tcPr>
            <w:tcW w:w="1276" w:type="dxa"/>
            <w:vMerge w:val="restart"/>
            <w:shd w:val="clear" w:color="auto" w:fill="D9D9D9" w:themeFill="background1" w:themeFillShade="D9"/>
            <w:vAlign w:val="center"/>
          </w:tcPr>
          <w:p w:rsidR="00F72971" w:rsidRPr="002855C1" w:rsidRDefault="00F72971" w:rsidP="00F72971">
            <w:pPr>
              <w:jc w:val="center"/>
              <w:rPr>
                <w:b/>
              </w:rPr>
            </w:pPr>
            <w:r w:rsidRPr="002855C1">
              <w:rPr>
                <w:b/>
              </w:rPr>
              <w:t>Rechts</w:t>
            </w:r>
            <w:r>
              <w:rPr>
                <w:b/>
              </w:rPr>
              <w:t>-</w:t>
            </w:r>
            <w:r w:rsidRPr="002855C1">
              <w:rPr>
                <w:b/>
              </w:rPr>
              <w:t>quelle</w:t>
            </w:r>
          </w:p>
        </w:tc>
        <w:tc>
          <w:tcPr>
            <w:tcW w:w="1843" w:type="dxa"/>
            <w:gridSpan w:val="3"/>
            <w:shd w:val="clear" w:color="auto" w:fill="D9D9D9" w:themeFill="background1" w:themeFillShade="D9"/>
            <w:vAlign w:val="center"/>
          </w:tcPr>
          <w:p w:rsidR="00F72971" w:rsidRPr="00F72971" w:rsidRDefault="00F72971" w:rsidP="00F72971">
            <w:pPr>
              <w:contextualSpacing/>
              <w:jc w:val="center"/>
              <w:rPr>
                <w:b/>
                <w:sz w:val="20"/>
                <w:szCs w:val="20"/>
              </w:rPr>
            </w:pPr>
            <w:r>
              <w:rPr>
                <w:b/>
                <w:sz w:val="20"/>
                <w:szCs w:val="20"/>
              </w:rPr>
              <w:t>Erfüllt?</w:t>
            </w:r>
          </w:p>
        </w:tc>
        <w:tc>
          <w:tcPr>
            <w:tcW w:w="3827" w:type="dxa"/>
            <w:vMerge w:val="restart"/>
            <w:shd w:val="clear" w:color="auto" w:fill="D9D9D9" w:themeFill="background1" w:themeFillShade="D9"/>
            <w:vAlign w:val="center"/>
          </w:tcPr>
          <w:p w:rsidR="00F72971" w:rsidRDefault="00F72971" w:rsidP="00F72971">
            <w:pPr>
              <w:jc w:val="center"/>
              <w:rPr>
                <w:b/>
              </w:rPr>
            </w:pPr>
            <w:r>
              <w:rPr>
                <w:b/>
              </w:rPr>
              <w:t>Bemerkungen, Maßnahmen</w:t>
            </w:r>
          </w:p>
        </w:tc>
      </w:tr>
      <w:tr w:rsidR="00F72971" w:rsidRPr="002855C1" w:rsidTr="00164CC0">
        <w:trPr>
          <w:cantSplit/>
          <w:trHeight w:val="1124"/>
          <w:tblHeader/>
        </w:trPr>
        <w:tc>
          <w:tcPr>
            <w:tcW w:w="1809" w:type="dxa"/>
            <w:vMerge/>
            <w:shd w:val="clear" w:color="auto" w:fill="D9D9D9" w:themeFill="background1" w:themeFillShade="D9"/>
            <w:vAlign w:val="center"/>
          </w:tcPr>
          <w:p w:rsidR="00F72971" w:rsidRPr="002855C1" w:rsidRDefault="00F72971" w:rsidP="00F72971">
            <w:pPr>
              <w:jc w:val="center"/>
              <w:rPr>
                <w:b/>
              </w:rPr>
            </w:pPr>
          </w:p>
        </w:tc>
        <w:tc>
          <w:tcPr>
            <w:tcW w:w="6379" w:type="dxa"/>
            <w:vMerge/>
            <w:shd w:val="clear" w:color="auto" w:fill="D9D9D9" w:themeFill="background1" w:themeFillShade="D9"/>
            <w:vAlign w:val="center"/>
          </w:tcPr>
          <w:p w:rsidR="00F72971" w:rsidRPr="002855C1" w:rsidRDefault="00F72971" w:rsidP="00F72971">
            <w:pPr>
              <w:jc w:val="center"/>
              <w:rPr>
                <w:b/>
              </w:rPr>
            </w:pPr>
          </w:p>
        </w:tc>
        <w:tc>
          <w:tcPr>
            <w:tcW w:w="1276" w:type="dxa"/>
            <w:vMerge/>
            <w:shd w:val="clear" w:color="auto" w:fill="D9D9D9" w:themeFill="background1" w:themeFillShade="D9"/>
            <w:vAlign w:val="center"/>
          </w:tcPr>
          <w:p w:rsidR="00F72971" w:rsidRPr="002855C1" w:rsidRDefault="00F72971" w:rsidP="00F72971">
            <w:pPr>
              <w:jc w:val="center"/>
              <w:rPr>
                <w:b/>
              </w:rPr>
            </w:pPr>
          </w:p>
        </w:tc>
        <w:tc>
          <w:tcPr>
            <w:tcW w:w="567" w:type="dxa"/>
            <w:shd w:val="clear" w:color="auto" w:fill="D9D9D9" w:themeFill="background1" w:themeFillShade="D9"/>
            <w:textDirection w:val="btLr"/>
            <w:vAlign w:val="center"/>
          </w:tcPr>
          <w:p w:rsidR="00F72971" w:rsidRPr="00F72971" w:rsidRDefault="00F72971" w:rsidP="00F72971">
            <w:pPr>
              <w:ind w:left="113" w:right="113"/>
              <w:contextualSpacing/>
              <w:jc w:val="center"/>
              <w:rPr>
                <w:b/>
                <w:sz w:val="20"/>
                <w:szCs w:val="20"/>
              </w:rPr>
            </w:pPr>
            <w:r w:rsidRPr="00F72971">
              <w:rPr>
                <w:b/>
                <w:sz w:val="20"/>
                <w:szCs w:val="20"/>
              </w:rPr>
              <w:t>ja</w:t>
            </w:r>
          </w:p>
        </w:tc>
        <w:tc>
          <w:tcPr>
            <w:tcW w:w="567" w:type="dxa"/>
            <w:shd w:val="clear" w:color="auto" w:fill="D9D9D9" w:themeFill="background1" w:themeFillShade="D9"/>
            <w:textDirection w:val="btLr"/>
            <w:vAlign w:val="center"/>
          </w:tcPr>
          <w:p w:rsidR="00F72971" w:rsidRPr="00F72971" w:rsidRDefault="00F72971" w:rsidP="00F72971">
            <w:pPr>
              <w:ind w:left="113" w:right="113"/>
              <w:contextualSpacing/>
              <w:jc w:val="center"/>
              <w:rPr>
                <w:b/>
                <w:sz w:val="20"/>
                <w:szCs w:val="20"/>
              </w:rPr>
            </w:pPr>
            <w:r w:rsidRPr="00F72971">
              <w:rPr>
                <w:b/>
                <w:sz w:val="20"/>
                <w:szCs w:val="20"/>
              </w:rPr>
              <w:t>nein</w:t>
            </w:r>
          </w:p>
        </w:tc>
        <w:tc>
          <w:tcPr>
            <w:tcW w:w="709" w:type="dxa"/>
            <w:shd w:val="clear" w:color="auto" w:fill="D9D9D9" w:themeFill="background1" w:themeFillShade="D9"/>
            <w:textDirection w:val="btLr"/>
            <w:vAlign w:val="center"/>
          </w:tcPr>
          <w:p w:rsidR="00F72971" w:rsidRPr="00F72971" w:rsidRDefault="00F72971" w:rsidP="00F72971">
            <w:pPr>
              <w:ind w:left="113" w:right="113"/>
              <w:contextualSpacing/>
              <w:jc w:val="center"/>
              <w:rPr>
                <w:b/>
                <w:sz w:val="20"/>
                <w:szCs w:val="20"/>
              </w:rPr>
            </w:pPr>
            <w:r w:rsidRPr="00F72971">
              <w:rPr>
                <w:b/>
                <w:sz w:val="20"/>
                <w:szCs w:val="20"/>
              </w:rPr>
              <w:t>Nicht zutreffend</w:t>
            </w:r>
          </w:p>
        </w:tc>
        <w:tc>
          <w:tcPr>
            <w:tcW w:w="3827" w:type="dxa"/>
            <w:vMerge/>
            <w:shd w:val="clear" w:color="auto" w:fill="D9D9D9" w:themeFill="background1" w:themeFillShade="D9"/>
            <w:vAlign w:val="center"/>
          </w:tcPr>
          <w:p w:rsidR="00F72971" w:rsidRPr="002855C1" w:rsidRDefault="00F72971" w:rsidP="00F72971">
            <w:pPr>
              <w:jc w:val="center"/>
              <w:rPr>
                <w:b/>
              </w:rPr>
            </w:pPr>
          </w:p>
        </w:tc>
      </w:tr>
      <w:tr w:rsidR="00370E82" w:rsidRPr="00C40C24" w:rsidTr="00D519F9">
        <w:tc>
          <w:tcPr>
            <w:tcW w:w="1809" w:type="dxa"/>
            <w:vMerge w:val="restart"/>
          </w:tcPr>
          <w:p w:rsidR="00370E82" w:rsidRPr="00C40C24" w:rsidRDefault="00370E82" w:rsidP="00F72971">
            <w:pPr>
              <w:spacing w:before="120"/>
            </w:pPr>
            <w:r w:rsidRPr="00C40C24">
              <w:t>Aerosole, Schaum</w:t>
            </w:r>
          </w:p>
        </w:tc>
        <w:tc>
          <w:tcPr>
            <w:tcW w:w="13325" w:type="dxa"/>
            <w:gridSpan w:val="6"/>
          </w:tcPr>
          <w:p w:rsidR="00370E82" w:rsidRPr="00C40C24" w:rsidRDefault="00370E82" w:rsidP="00F72971">
            <w:pPr>
              <w:spacing w:before="120"/>
            </w:pPr>
            <w:r w:rsidRPr="00C40C24">
              <w:t>Im Rahmen der Regeln guter mikrobiologischer Technik kommt der Vermeidung von Aerosolen besondere Bedeutung zu. Um zu verhindern, dass größere Mengen an Kultursuspensionen über die Abluft aus den technischen Apparaturen austreten, können z. B. folgende Maßnahmen getroffen werden:</w:t>
            </w:r>
          </w:p>
        </w:tc>
      </w:tr>
      <w:tr w:rsidR="00370E82" w:rsidRPr="00C40C24" w:rsidTr="00164CC0">
        <w:tc>
          <w:tcPr>
            <w:tcW w:w="1809" w:type="dxa"/>
            <w:vMerge/>
          </w:tcPr>
          <w:p w:rsidR="00370E82" w:rsidRPr="00C40C24" w:rsidRDefault="00370E82" w:rsidP="00370E82">
            <w:pPr>
              <w:spacing w:before="120"/>
            </w:pPr>
          </w:p>
        </w:tc>
        <w:tc>
          <w:tcPr>
            <w:tcW w:w="6379" w:type="dxa"/>
          </w:tcPr>
          <w:p w:rsidR="00370E82" w:rsidRPr="00C40C24" w:rsidRDefault="00370E82" w:rsidP="00370E82">
            <w:pPr>
              <w:spacing w:before="120"/>
            </w:pPr>
            <w:r w:rsidRPr="00C40C24">
              <w:t>Füllung der Fermenter bis max. 80%</w:t>
            </w:r>
          </w:p>
        </w:tc>
        <w:tc>
          <w:tcPr>
            <w:tcW w:w="1276" w:type="dxa"/>
            <w:vMerge w:val="restart"/>
            <w:vAlign w:val="center"/>
          </w:tcPr>
          <w:p w:rsidR="00370E82" w:rsidRPr="00C40C24" w:rsidRDefault="00370E82" w:rsidP="00370E82">
            <w:pPr>
              <w:spacing w:before="120"/>
            </w:pPr>
            <w:r w:rsidRPr="00C40C24">
              <w:t>GenTSV, Anhang III, B I.3</w:t>
            </w:r>
            <w:r>
              <w:t>; BGI 629, Kapitel 6.6</w:t>
            </w:r>
          </w:p>
        </w:tc>
        <w:sdt>
          <w:sdtPr>
            <w:id w:val="823000919"/>
            <w14:checkbox>
              <w14:checked w14:val="0"/>
              <w14:checkedState w14:val="2612" w14:font="MS Gothic"/>
              <w14:uncheckedState w14:val="2610" w14:font="MS Gothic"/>
            </w14:checkbox>
          </w:sdtPr>
          <w:sdtEndPr/>
          <w:sdtContent>
            <w:tc>
              <w:tcPr>
                <w:tcW w:w="567" w:type="dxa"/>
                <w:vAlign w:val="center"/>
              </w:tcPr>
              <w:p w:rsidR="00370E82" w:rsidRPr="00C40C24" w:rsidRDefault="00860B52" w:rsidP="00370E82">
                <w:pPr>
                  <w:spacing w:before="120"/>
                  <w:jc w:val="center"/>
                </w:pPr>
                <w:r>
                  <w:rPr>
                    <w:rFonts w:ascii="MS Gothic" w:eastAsia="MS Gothic" w:hAnsi="MS Gothic" w:hint="eastAsia"/>
                  </w:rPr>
                  <w:t>☐</w:t>
                </w:r>
              </w:p>
            </w:tc>
          </w:sdtContent>
        </w:sdt>
        <w:sdt>
          <w:sdtPr>
            <w:id w:val="905952340"/>
            <w14:checkbox>
              <w14:checked w14:val="0"/>
              <w14:checkedState w14:val="2612" w14:font="MS Gothic"/>
              <w14:uncheckedState w14:val="2610" w14:font="MS Gothic"/>
            </w14:checkbox>
          </w:sdtPr>
          <w:sdtEndPr/>
          <w:sdtContent>
            <w:tc>
              <w:tcPr>
                <w:tcW w:w="567" w:type="dxa"/>
                <w:vAlign w:val="center"/>
              </w:tcPr>
              <w:p w:rsidR="00370E82" w:rsidRPr="00C40C24" w:rsidRDefault="00370E82" w:rsidP="00370E82">
                <w:pPr>
                  <w:spacing w:before="120"/>
                  <w:jc w:val="center"/>
                </w:pPr>
                <w:r>
                  <w:rPr>
                    <w:rFonts w:ascii="MS Gothic" w:eastAsia="MS Gothic" w:hAnsi="MS Gothic" w:hint="eastAsia"/>
                  </w:rPr>
                  <w:t>☐</w:t>
                </w:r>
              </w:p>
            </w:tc>
          </w:sdtContent>
        </w:sdt>
        <w:sdt>
          <w:sdtPr>
            <w:id w:val="993836754"/>
            <w14:checkbox>
              <w14:checked w14:val="0"/>
              <w14:checkedState w14:val="2612" w14:font="MS Gothic"/>
              <w14:uncheckedState w14:val="2610" w14:font="MS Gothic"/>
            </w14:checkbox>
          </w:sdtPr>
          <w:sdtEndPr/>
          <w:sdtContent>
            <w:tc>
              <w:tcPr>
                <w:tcW w:w="709" w:type="dxa"/>
                <w:vAlign w:val="center"/>
              </w:tcPr>
              <w:p w:rsidR="00370E82" w:rsidRPr="00C40C24" w:rsidRDefault="00370E82" w:rsidP="00370E82">
                <w:pPr>
                  <w:spacing w:before="120"/>
                  <w:jc w:val="center"/>
                </w:pPr>
                <w:r>
                  <w:rPr>
                    <w:rFonts w:ascii="MS Gothic" w:eastAsia="MS Gothic" w:hAnsi="MS Gothic" w:hint="eastAsia"/>
                  </w:rPr>
                  <w:t>☐</w:t>
                </w:r>
              </w:p>
            </w:tc>
          </w:sdtContent>
        </w:sdt>
        <w:tc>
          <w:tcPr>
            <w:tcW w:w="3827" w:type="dxa"/>
          </w:tcPr>
          <w:p w:rsidR="00370E82" w:rsidRPr="00C40C24" w:rsidRDefault="00370E82" w:rsidP="00370E82">
            <w:pPr>
              <w:spacing w:before="120"/>
            </w:pPr>
          </w:p>
        </w:tc>
      </w:tr>
      <w:tr w:rsidR="00370E82" w:rsidRPr="00C40C24" w:rsidTr="00164CC0">
        <w:tc>
          <w:tcPr>
            <w:tcW w:w="1809" w:type="dxa"/>
            <w:vMerge/>
          </w:tcPr>
          <w:p w:rsidR="00370E82" w:rsidRPr="00C40C24" w:rsidRDefault="00370E82" w:rsidP="00370E82">
            <w:pPr>
              <w:spacing w:before="120"/>
            </w:pPr>
          </w:p>
        </w:tc>
        <w:tc>
          <w:tcPr>
            <w:tcW w:w="6379" w:type="dxa"/>
          </w:tcPr>
          <w:p w:rsidR="00370E82" w:rsidRPr="00C40C24" w:rsidRDefault="00370E82" w:rsidP="00370E82">
            <w:pPr>
              <w:spacing w:before="120"/>
            </w:pPr>
            <w:r w:rsidRPr="004E7191">
              <w:rPr>
                <w:u w:val="single"/>
              </w:rPr>
              <w:t>und/oder</w:t>
            </w:r>
            <w:r w:rsidRPr="00C40C24">
              <w:t>: Überwachung der Schaumbildung durch Sensoren und kontinuierliche oder geregelte Zugabe von Antischaummitteln</w:t>
            </w:r>
          </w:p>
        </w:tc>
        <w:tc>
          <w:tcPr>
            <w:tcW w:w="1276" w:type="dxa"/>
            <w:vMerge/>
          </w:tcPr>
          <w:p w:rsidR="00370E82" w:rsidRPr="00C40C24" w:rsidRDefault="00370E82" w:rsidP="00370E82">
            <w:pPr>
              <w:spacing w:before="120"/>
            </w:pPr>
          </w:p>
        </w:tc>
        <w:sdt>
          <w:sdtPr>
            <w:id w:val="911825109"/>
            <w14:checkbox>
              <w14:checked w14:val="0"/>
              <w14:checkedState w14:val="2612" w14:font="MS Gothic"/>
              <w14:uncheckedState w14:val="2610" w14:font="MS Gothic"/>
            </w14:checkbox>
          </w:sdtPr>
          <w:sdtEndPr/>
          <w:sdtContent>
            <w:tc>
              <w:tcPr>
                <w:tcW w:w="567" w:type="dxa"/>
                <w:vAlign w:val="center"/>
              </w:tcPr>
              <w:p w:rsidR="00370E82" w:rsidRPr="00C40C24" w:rsidRDefault="00860B52" w:rsidP="00370E82">
                <w:pPr>
                  <w:spacing w:before="120"/>
                  <w:jc w:val="center"/>
                </w:pPr>
                <w:r>
                  <w:rPr>
                    <w:rFonts w:ascii="MS Gothic" w:eastAsia="MS Gothic" w:hAnsi="MS Gothic" w:hint="eastAsia"/>
                  </w:rPr>
                  <w:t>☐</w:t>
                </w:r>
              </w:p>
            </w:tc>
          </w:sdtContent>
        </w:sdt>
        <w:sdt>
          <w:sdtPr>
            <w:id w:val="843979484"/>
            <w14:checkbox>
              <w14:checked w14:val="0"/>
              <w14:checkedState w14:val="2612" w14:font="MS Gothic"/>
              <w14:uncheckedState w14:val="2610" w14:font="MS Gothic"/>
            </w14:checkbox>
          </w:sdtPr>
          <w:sdtEndPr/>
          <w:sdtContent>
            <w:tc>
              <w:tcPr>
                <w:tcW w:w="567" w:type="dxa"/>
                <w:vAlign w:val="center"/>
              </w:tcPr>
              <w:p w:rsidR="00370E82" w:rsidRPr="00C40C24" w:rsidRDefault="00370E82" w:rsidP="00370E82">
                <w:pPr>
                  <w:spacing w:before="120"/>
                  <w:jc w:val="center"/>
                </w:pPr>
                <w:r>
                  <w:rPr>
                    <w:rFonts w:ascii="MS Gothic" w:eastAsia="MS Gothic" w:hAnsi="MS Gothic" w:hint="eastAsia"/>
                  </w:rPr>
                  <w:t>☐</w:t>
                </w:r>
              </w:p>
            </w:tc>
          </w:sdtContent>
        </w:sdt>
        <w:sdt>
          <w:sdtPr>
            <w:id w:val="-566649440"/>
            <w14:checkbox>
              <w14:checked w14:val="0"/>
              <w14:checkedState w14:val="2612" w14:font="MS Gothic"/>
              <w14:uncheckedState w14:val="2610" w14:font="MS Gothic"/>
            </w14:checkbox>
          </w:sdtPr>
          <w:sdtEndPr/>
          <w:sdtContent>
            <w:tc>
              <w:tcPr>
                <w:tcW w:w="709" w:type="dxa"/>
                <w:vAlign w:val="center"/>
              </w:tcPr>
              <w:p w:rsidR="00370E82" w:rsidRPr="00C40C24" w:rsidRDefault="00370E82" w:rsidP="00370E82">
                <w:pPr>
                  <w:spacing w:before="120"/>
                  <w:jc w:val="center"/>
                </w:pPr>
                <w:r>
                  <w:rPr>
                    <w:rFonts w:ascii="MS Gothic" w:eastAsia="MS Gothic" w:hAnsi="MS Gothic" w:hint="eastAsia"/>
                  </w:rPr>
                  <w:t>☐</w:t>
                </w:r>
              </w:p>
            </w:tc>
          </w:sdtContent>
        </w:sdt>
        <w:tc>
          <w:tcPr>
            <w:tcW w:w="3827" w:type="dxa"/>
          </w:tcPr>
          <w:p w:rsidR="00370E82" w:rsidRPr="00C40C24" w:rsidRDefault="00370E82" w:rsidP="00370E82">
            <w:pPr>
              <w:spacing w:before="120"/>
            </w:pPr>
          </w:p>
        </w:tc>
      </w:tr>
      <w:tr w:rsidR="00370E82" w:rsidRPr="00C40C24" w:rsidTr="00164CC0">
        <w:tc>
          <w:tcPr>
            <w:tcW w:w="1809" w:type="dxa"/>
            <w:vMerge/>
          </w:tcPr>
          <w:p w:rsidR="00370E82" w:rsidRPr="00C40C24" w:rsidRDefault="00370E82" w:rsidP="00370E82">
            <w:pPr>
              <w:spacing w:before="120"/>
            </w:pPr>
          </w:p>
        </w:tc>
        <w:tc>
          <w:tcPr>
            <w:tcW w:w="6379" w:type="dxa"/>
          </w:tcPr>
          <w:p w:rsidR="00370E82" w:rsidRPr="00C40C24" w:rsidRDefault="00370E82" w:rsidP="00370E82">
            <w:pPr>
              <w:spacing w:before="120"/>
            </w:pPr>
            <w:r w:rsidRPr="004E7191">
              <w:rPr>
                <w:u w:val="single"/>
              </w:rPr>
              <w:t>und/oder</w:t>
            </w:r>
            <w:r w:rsidRPr="00C40C24">
              <w:t xml:space="preserve">: Einbau von Wasch- und Abscheidevorrichtungen, wie </w:t>
            </w:r>
            <w:proofErr w:type="spellStart"/>
            <w:r w:rsidRPr="00C40C24">
              <w:t>zB</w:t>
            </w:r>
            <w:proofErr w:type="spellEnd"/>
            <w:r w:rsidRPr="00C40C24">
              <w:t xml:space="preserve"> </w:t>
            </w:r>
            <w:proofErr w:type="spellStart"/>
            <w:r w:rsidRPr="00C40C24">
              <w:t>Demister</w:t>
            </w:r>
            <w:proofErr w:type="spellEnd"/>
            <w:r w:rsidRPr="00C40C24">
              <w:t xml:space="preserve">, </w:t>
            </w:r>
            <w:r>
              <w:t>Z</w:t>
            </w:r>
            <w:r w:rsidRPr="00C40C24">
              <w:t>entrifugalabscheider.</w:t>
            </w:r>
          </w:p>
        </w:tc>
        <w:tc>
          <w:tcPr>
            <w:tcW w:w="1276" w:type="dxa"/>
            <w:vMerge/>
          </w:tcPr>
          <w:p w:rsidR="00370E82" w:rsidRPr="00C40C24" w:rsidRDefault="00370E82" w:rsidP="00370E82">
            <w:pPr>
              <w:spacing w:before="120"/>
            </w:pPr>
          </w:p>
        </w:tc>
        <w:sdt>
          <w:sdtPr>
            <w:id w:val="-1156529834"/>
            <w14:checkbox>
              <w14:checked w14:val="0"/>
              <w14:checkedState w14:val="2612" w14:font="MS Gothic"/>
              <w14:uncheckedState w14:val="2610" w14:font="MS Gothic"/>
            </w14:checkbox>
          </w:sdtPr>
          <w:sdtEndPr/>
          <w:sdtContent>
            <w:tc>
              <w:tcPr>
                <w:tcW w:w="567" w:type="dxa"/>
                <w:vAlign w:val="center"/>
              </w:tcPr>
              <w:p w:rsidR="00370E82" w:rsidRPr="00C40C24" w:rsidRDefault="00370E82" w:rsidP="00370E82">
                <w:pPr>
                  <w:spacing w:before="120"/>
                  <w:jc w:val="center"/>
                </w:pPr>
                <w:r>
                  <w:rPr>
                    <w:rFonts w:ascii="MS Gothic" w:eastAsia="MS Gothic" w:hAnsi="MS Gothic" w:hint="eastAsia"/>
                  </w:rPr>
                  <w:t>☐</w:t>
                </w:r>
              </w:p>
            </w:tc>
          </w:sdtContent>
        </w:sdt>
        <w:sdt>
          <w:sdtPr>
            <w:id w:val="-1730064247"/>
            <w14:checkbox>
              <w14:checked w14:val="0"/>
              <w14:checkedState w14:val="2612" w14:font="MS Gothic"/>
              <w14:uncheckedState w14:val="2610" w14:font="MS Gothic"/>
            </w14:checkbox>
          </w:sdtPr>
          <w:sdtEndPr/>
          <w:sdtContent>
            <w:tc>
              <w:tcPr>
                <w:tcW w:w="567" w:type="dxa"/>
                <w:vAlign w:val="center"/>
              </w:tcPr>
              <w:p w:rsidR="00370E82" w:rsidRPr="00C40C24" w:rsidRDefault="00860B52" w:rsidP="00370E82">
                <w:pPr>
                  <w:spacing w:before="120"/>
                  <w:jc w:val="center"/>
                </w:pPr>
                <w:r>
                  <w:rPr>
                    <w:rFonts w:ascii="MS Gothic" w:eastAsia="MS Gothic" w:hAnsi="MS Gothic" w:hint="eastAsia"/>
                  </w:rPr>
                  <w:t>☐</w:t>
                </w:r>
              </w:p>
            </w:tc>
          </w:sdtContent>
        </w:sdt>
        <w:sdt>
          <w:sdtPr>
            <w:id w:val="1491444267"/>
            <w14:checkbox>
              <w14:checked w14:val="0"/>
              <w14:checkedState w14:val="2612" w14:font="MS Gothic"/>
              <w14:uncheckedState w14:val="2610" w14:font="MS Gothic"/>
            </w14:checkbox>
          </w:sdtPr>
          <w:sdtEndPr/>
          <w:sdtContent>
            <w:tc>
              <w:tcPr>
                <w:tcW w:w="709" w:type="dxa"/>
                <w:vAlign w:val="center"/>
              </w:tcPr>
              <w:p w:rsidR="00370E82" w:rsidRPr="00C40C24" w:rsidRDefault="00370E82" w:rsidP="00370E82">
                <w:pPr>
                  <w:spacing w:before="120"/>
                  <w:jc w:val="center"/>
                </w:pPr>
                <w:r>
                  <w:rPr>
                    <w:rFonts w:ascii="MS Gothic" w:eastAsia="MS Gothic" w:hAnsi="MS Gothic" w:hint="eastAsia"/>
                  </w:rPr>
                  <w:t>☐</w:t>
                </w:r>
              </w:p>
            </w:tc>
          </w:sdtContent>
        </w:sdt>
        <w:tc>
          <w:tcPr>
            <w:tcW w:w="3827" w:type="dxa"/>
          </w:tcPr>
          <w:p w:rsidR="00370E82" w:rsidRPr="00C40C24" w:rsidRDefault="00370E82" w:rsidP="00370E82">
            <w:pPr>
              <w:spacing w:before="120"/>
            </w:pPr>
          </w:p>
        </w:tc>
      </w:tr>
      <w:tr w:rsidR="00370E82" w:rsidRPr="00C40C24" w:rsidTr="00164CC0">
        <w:tc>
          <w:tcPr>
            <w:tcW w:w="1809" w:type="dxa"/>
          </w:tcPr>
          <w:p w:rsidR="00370E82" w:rsidRPr="00C40C24" w:rsidRDefault="00370E82" w:rsidP="00370E82">
            <w:pPr>
              <w:spacing w:before="120"/>
            </w:pPr>
            <w:r w:rsidRPr="00C40C24">
              <w:t>Wellendurchführungen</w:t>
            </w:r>
          </w:p>
        </w:tc>
        <w:tc>
          <w:tcPr>
            <w:tcW w:w="6379" w:type="dxa"/>
          </w:tcPr>
          <w:p w:rsidR="00370E82" w:rsidRPr="00C40C24" w:rsidRDefault="00370E82" w:rsidP="00370E82">
            <w:pPr>
              <w:spacing w:before="120"/>
            </w:pPr>
            <w:r w:rsidRPr="00C40C24">
              <w:rPr>
                <w:rFonts w:cs="DejaVuSansCondensed"/>
              </w:rPr>
              <w:t>Zur Wellenabdichtung sind Stopfbuchsen ausreichend</w:t>
            </w:r>
          </w:p>
        </w:tc>
        <w:tc>
          <w:tcPr>
            <w:tcW w:w="1276" w:type="dxa"/>
          </w:tcPr>
          <w:p w:rsidR="00370E82" w:rsidRPr="00C40C24" w:rsidRDefault="00370E82" w:rsidP="00370E82">
            <w:pPr>
              <w:spacing w:before="120"/>
            </w:pPr>
            <w:r w:rsidRPr="00C40C24">
              <w:t>GenTSV, Anhang III, B I.5</w:t>
            </w:r>
          </w:p>
        </w:tc>
        <w:sdt>
          <w:sdtPr>
            <w:id w:val="743069352"/>
            <w14:checkbox>
              <w14:checked w14:val="0"/>
              <w14:checkedState w14:val="2612" w14:font="MS Gothic"/>
              <w14:uncheckedState w14:val="2610" w14:font="MS Gothic"/>
            </w14:checkbox>
          </w:sdtPr>
          <w:sdtEndPr/>
          <w:sdtContent>
            <w:tc>
              <w:tcPr>
                <w:tcW w:w="567" w:type="dxa"/>
                <w:vAlign w:val="center"/>
              </w:tcPr>
              <w:p w:rsidR="00370E82" w:rsidRPr="00C40C24" w:rsidRDefault="00860B52" w:rsidP="00370E82">
                <w:pPr>
                  <w:spacing w:before="120"/>
                  <w:jc w:val="center"/>
                </w:pPr>
                <w:r>
                  <w:rPr>
                    <w:rFonts w:ascii="MS Gothic" w:eastAsia="MS Gothic" w:hAnsi="MS Gothic" w:hint="eastAsia"/>
                  </w:rPr>
                  <w:t>☐</w:t>
                </w:r>
              </w:p>
            </w:tc>
          </w:sdtContent>
        </w:sdt>
        <w:sdt>
          <w:sdtPr>
            <w:id w:val="-502970055"/>
            <w14:checkbox>
              <w14:checked w14:val="0"/>
              <w14:checkedState w14:val="2612" w14:font="MS Gothic"/>
              <w14:uncheckedState w14:val="2610" w14:font="MS Gothic"/>
            </w14:checkbox>
          </w:sdtPr>
          <w:sdtEndPr/>
          <w:sdtContent>
            <w:tc>
              <w:tcPr>
                <w:tcW w:w="567" w:type="dxa"/>
                <w:vAlign w:val="center"/>
              </w:tcPr>
              <w:p w:rsidR="00370E82" w:rsidRPr="00C40C24" w:rsidRDefault="00370E82" w:rsidP="00370E82">
                <w:pPr>
                  <w:spacing w:before="120"/>
                  <w:jc w:val="center"/>
                </w:pPr>
                <w:r>
                  <w:rPr>
                    <w:rFonts w:ascii="MS Gothic" w:eastAsia="MS Gothic" w:hAnsi="MS Gothic" w:hint="eastAsia"/>
                  </w:rPr>
                  <w:t>☐</w:t>
                </w:r>
              </w:p>
            </w:tc>
          </w:sdtContent>
        </w:sdt>
        <w:sdt>
          <w:sdtPr>
            <w:id w:val="-1466893726"/>
            <w14:checkbox>
              <w14:checked w14:val="0"/>
              <w14:checkedState w14:val="2612" w14:font="MS Gothic"/>
              <w14:uncheckedState w14:val="2610" w14:font="MS Gothic"/>
            </w14:checkbox>
          </w:sdtPr>
          <w:sdtEndPr/>
          <w:sdtContent>
            <w:tc>
              <w:tcPr>
                <w:tcW w:w="709" w:type="dxa"/>
                <w:vAlign w:val="center"/>
              </w:tcPr>
              <w:p w:rsidR="00370E82" w:rsidRPr="00C40C24" w:rsidRDefault="00370E82" w:rsidP="00370E82">
                <w:pPr>
                  <w:spacing w:before="120"/>
                  <w:jc w:val="center"/>
                </w:pPr>
                <w:r>
                  <w:rPr>
                    <w:rFonts w:ascii="MS Gothic" w:eastAsia="MS Gothic" w:hAnsi="MS Gothic" w:hint="eastAsia"/>
                  </w:rPr>
                  <w:t>☐</w:t>
                </w:r>
              </w:p>
            </w:tc>
          </w:sdtContent>
        </w:sdt>
        <w:tc>
          <w:tcPr>
            <w:tcW w:w="3827" w:type="dxa"/>
          </w:tcPr>
          <w:p w:rsidR="00370E82" w:rsidRPr="00C40C24" w:rsidRDefault="00370E82" w:rsidP="00370E82">
            <w:pPr>
              <w:spacing w:before="120"/>
            </w:pPr>
          </w:p>
        </w:tc>
      </w:tr>
      <w:tr w:rsidR="00370E82" w:rsidRPr="00C40C24" w:rsidTr="00164CC0">
        <w:tc>
          <w:tcPr>
            <w:tcW w:w="1809" w:type="dxa"/>
          </w:tcPr>
          <w:p w:rsidR="00370E82" w:rsidRPr="00C40C24" w:rsidRDefault="00370E82" w:rsidP="00370E82">
            <w:pPr>
              <w:spacing w:before="120"/>
            </w:pPr>
            <w:r>
              <w:t>Belüftung</w:t>
            </w:r>
          </w:p>
        </w:tc>
        <w:tc>
          <w:tcPr>
            <w:tcW w:w="6379" w:type="dxa"/>
          </w:tcPr>
          <w:p w:rsidR="00370E82" w:rsidRPr="00C40C24" w:rsidRDefault="00370E82" w:rsidP="00370E82">
            <w:pPr>
              <w:autoSpaceDE w:val="0"/>
              <w:autoSpaceDN w:val="0"/>
              <w:adjustRightInd w:val="0"/>
              <w:spacing w:before="120"/>
            </w:pPr>
            <w:r w:rsidRPr="00C40C24">
              <w:rPr>
                <w:rFonts w:cs="DejaVuSansCondensed"/>
                <w:u w:val="single"/>
              </w:rPr>
              <w:t>Falls erforderlich</w:t>
            </w:r>
            <w:r w:rsidRPr="00C40C24">
              <w:rPr>
                <w:rFonts w:cs="DejaVuSansCondensed"/>
              </w:rPr>
              <w:t>, sind spezifische Maßnahmen zur angemessenen Belüftung des Arbeitsbereichs anzuwenden, um die Kontamination der Luft auf ein Mindestmaß zu reduzieren.</w:t>
            </w:r>
          </w:p>
        </w:tc>
        <w:tc>
          <w:tcPr>
            <w:tcW w:w="1276" w:type="dxa"/>
          </w:tcPr>
          <w:p w:rsidR="00370E82" w:rsidRPr="00C40C24" w:rsidRDefault="00370E82" w:rsidP="00370E82">
            <w:pPr>
              <w:spacing w:before="120"/>
            </w:pPr>
            <w:r w:rsidRPr="00C40C24">
              <w:t>GenTSV, Anhang III, B I.4</w:t>
            </w:r>
          </w:p>
        </w:tc>
        <w:sdt>
          <w:sdtPr>
            <w:id w:val="-61950536"/>
            <w14:checkbox>
              <w14:checked w14:val="0"/>
              <w14:checkedState w14:val="2612" w14:font="MS Gothic"/>
              <w14:uncheckedState w14:val="2610" w14:font="MS Gothic"/>
            </w14:checkbox>
          </w:sdtPr>
          <w:sdtEndPr/>
          <w:sdtContent>
            <w:tc>
              <w:tcPr>
                <w:tcW w:w="567" w:type="dxa"/>
                <w:vAlign w:val="center"/>
              </w:tcPr>
              <w:p w:rsidR="00370E82" w:rsidRPr="00C40C24" w:rsidRDefault="006E7BA9" w:rsidP="00370E82">
                <w:pPr>
                  <w:spacing w:before="120"/>
                  <w:jc w:val="center"/>
                </w:pPr>
                <w:r>
                  <w:rPr>
                    <w:rFonts w:ascii="MS Gothic" w:eastAsia="MS Gothic" w:hAnsi="MS Gothic" w:hint="eastAsia"/>
                  </w:rPr>
                  <w:t>☐</w:t>
                </w:r>
              </w:p>
            </w:tc>
          </w:sdtContent>
        </w:sdt>
        <w:sdt>
          <w:sdtPr>
            <w:id w:val="1382211679"/>
            <w14:checkbox>
              <w14:checked w14:val="0"/>
              <w14:checkedState w14:val="2612" w14:font="MS Gothic"/>
              <w14:uncheckedState w14:val="2610" w14:font="MS Gothic"/>
            </w14:checkbox>
          </w:sdtPr>
          <w:sdtEndPr/>
          <w:sdtContent>
            <w:tc>
              <w:tcPr>
                <w:tcW w:w="567" w:type="dxa"/>
                <w:vAlign w:val="center"/>
              </w:tcPr>
              <w:p w:rsidR="00370E82" w:rsidRPr="00C40C24" w:rsidRDefault="00370E82" w:rsidP="00370E82">
                <w:pPr>
                  <w:spacing w:before="120"/>
                  <w:jc w:val="center"/>
                </w:pPr>
                <w:r>
                  <w:rPr>
                    <w:rFonts w:ascii="MS Gothic" w:eastAsia="MS Gothic" w:hAnsi="MS Gothic" w:hint="eastAsia"/>
                  </w:rPr>
                  <w:t>☐</w:t>
                </w:r>
              </w:p>
            </w:tc>
          </w:sdtContent>
        </w:sdt>
        <w:sdt>
          <w:sdtPr>
            <w:id w:val="-340315753"/>
            <w14:checkbox>
              <w14:checked w14:val="0"/>
              <w14:checkedState w14:val="2612" w14:font="MS Gothic"/>
              <w14:uncheckedState w14:val="2610" w14:font="MS Gothic"/>
            </w14:checkbox>
          </w:sdtPr>
          <w:sdtEndPr/>
          <w:sdtContent>
            <w:tc>
              <w:tcPr>
                <w:tcW w:w="709" w:type="dxa"/>
                <w:vAlign w:val="center"/>
              </w:tcPr>
              <w:p w:rsidR="00370E82" w:rsidRPr="00C40C24" w:rsidRDefault="00860B52" w:rsidP="00370E82">
                <w:pPr>
                  <w:spacing w:before="120"/>
                  <w:jc w:val="center"/>
                </w:pPr>
                <w:r>
                  <w:rPr>
                    <w:rFonts w:ascii="MS Gothic" w:eastAsia="MS Gothic" w:hAnsi="MS Gothic" w:hint="eastAsia"/>
                  </w:rPr>
                  <w:t>☐</w:t>
                </w:r>
              </w:p>
            </w:tc>
          </w:sdtContent>
        </w:sdt>
        <w:tc>
          <w:tcPr>
            <w:tcW w:w="3827" w:type="dxa"/>
          </w:tcPr>
          <w:p w:rsidR="00370E82" w:rsidRPr="00C40C24" w:rsidRDefault="00370E82" w:rsidP="00370E82">
            <w:pPr>
              <w:spacing w:before="120"/>
            </w:pPr>
          </w:p>
        </w:tc>
      </w:tr>
      <w:tr w:rsidR="00370E82" w:rsidRPr="00C40C24" w:rsidTr="00164CC0">
        <w:tc>
          <w:tcPr>
            <w:tcW w:w="1809" w:type="dxa"/>
            <w:vMerge w:val="restart"/>
          </w:tcPr>
          <w:p w:rsidR="00370E82" w:rsidRDefault="00370E82" w:rsidP="00370E82">
            <w:pPr>
              <w:spacing w:before="120"/>
            </w:pPr>
            <w:r>
              <w:t>Beimpfung, Probennahme</w:t>
            </w:r>
          </w:p>
        </w:tc>
        <w:tc>
          <w:tcPr>
            <w:tcW w:w="6379" w:type="dxa"/>
          </w:tcPr>
          <w:p w:rsidR="00370E82" w:rsidRPr="00C40C24" w:rsidRDefault="00370E82" w:rsidP="00370E82">
            <w:pPr>
              <w:autoSpaceDE w:val="0"/>
              <w:autoSpaceDN w:val="0"/>
              <w:adjustRightInd w:val="0"/>
              <w:spacing w:before="120"/>
              <w:rPr>
                <w:rFonts w:cs="DejaVuSansCondensed"/>
              </w:rPr>
            </w:pPr>
            <w:r>
              <w:rPr>
                <w:rFonts w:cs="DejaVuSansCondensed"/>
              </w:rPr>
              <w:t>In S1 genügen einfache Armaturen aus Sicht des Arbeitsschutzes aus.</w:t>
            </w:r>
          </w:p>
        </w:tc>
        <w:tc>
          <w:tcPr>
            <w:tcW w:w="1276" w:type="dxa"/>
          </w:tcPr>
          <w:p w:rsidR="00370E82" w:rsidRPr="00C40C24" w:rsidRDefault="00370E82" w:rsidP="00370E82">
            <w:pPr>
              <w:spacing w:before="120"/>
            </w:pPr>
            <w:r>
              <w:t>Broschüre, S. 91</w:t>
            </w:r>
          </w:p>
        </w:tc>
        <w:sdt>
          <w:sdtPr>
            <w:id w:val="1080940173"/>
            <w14:checkbox>
              <w14:checked w14:val="0"/>
              <w14:checkedState w14:val="2612" w14:font="MS Gothic"/>
              <w14:uncheckedState w14:val="2610" w14:font="MS Gothic"/>
            </w14:checkbox>
          </w:sdtPr>
          <w:sdtEndPr/>
          <w:sdtContent>
            <w:tc>
              <w:tcPr>
                <w:tcW w:w="567" w:type="dxa"/>
                <w:vAlign w:val="center"/>
              </w:tcPr>
              <w:p w:rsidR="00370E82" w:rsidRPr="00C40C24" w:rsidRDefault="00860B52" w:rsidP="00370E82">
                <w:pPr>
                  <w:spacing w:before="120"/>
                  <w:jc w:val="center"/>
                </w:pPr>
                <w:r>
                  <w:rPr>
                    <w:rFonts w:ascii="MS Gothic" w:eastAsia="MS Gothic" w:hAnsi="MS Gothic" w:hint="eastAsia"/>
                  </w:rPr>
                  <w:t>☐</w:t>
                </w:r>
              </w:p>
            </w:tc>
          </w:sdtContent>
        </w:sdt>
        <w:sdt>
          <w:sdtPr>
            <w:id w:val="-1489010751"/>
            <w14:checkbox>
              <w14:checked w14:val="0"/>
              <w14:checkedState w14:val="2612" w14:font="MS Gothic"/>
              <w14:uncheckedState w14:val="2610" w14:font="MS Gothic"/>
            </w14:checkbox>
          </w:sdtPr>
          <w:sdtEndPr/>
          <w:sdtContent>
            <w:tc>
              <w:tcPr>
                <w:tcW w:w="567" w:type="dxa"/>
                <w:vAlign w:val="center"/>
              </w:tcPr>
              <w:p w:rsidR="00370E82" w:rsidRPr="00C40C24" w:rsidRDefault="00370E82" w:rsidP="00370E82">
                <w:pPr>
                  <w:spacing w:before="120"/>
                  <w:jc w:val="center"/>
                </w:pPr>
                <w:r>
                  <w:rPr>
                    <w:rFonts w:ascii="MS Gothic" w:eastAsia="MS Gothic" w:hAnsi="MS Gothic" w:hint="eastAsia"/>
                  </w:rPr>
                  <w:t>☐</w:t>
                </w:r>
              </w:p>
            </w:tc>
          </w:sdtContent>
        </w:sdt>
        <w:sdt>
          <w:sdtPr>
            <w:id w:val="-1261838600"/>
            <w14:checkbox>
              <w14:checked w14:val="0"/>
              <w14:checkedState w14:val="2612" w14:font="MS Gothic"/>
              <w14:uncheckedState w14:val="2610" w14:font="MS Gothic"/>
            </w14:checkbox>
          </w:sdtPr>
          <w:sdtEndPr/>
          <w:sdtContent>
            <w:tc>
              <w:tcPr>
                <w:tcW w:w="709" w:type="dxa"/>
                <w:vAlign w:val="center"/>
              </w:tcPr>
              <w:p w:rsidR="00370E82" w:rsidRPr="00C40C24" w:rsidRDefault="00370E82" w:rsidP="00370E82">
                <w:pPr>
                  <w:spacing w:before="120"/>
                  <w:jc w:val="center"/>
                </w:pPr>
                <w:r>
                  <w:rPr>
                    <w:rFonts w:ascii="MS Gothic" w:eastAsia="MS Gothic" w:hAnsi="MS Gothic" w:hint="eastAsia"/>
                  </w:rPr>
                  <w:t>☐</w:t>
                </w:r>
              </w:p>
            </w:tc>
          </w:sdtContent>
        </w:sdt>
        <w:tc>
          <w:tcPr>
            <w:tcW w:w="3827" w:type="dxa"/>
          </w:tcPr>
          <w:p w:rsidR="00370E82" w:rsidRPr="00C40C24" w:rsidRDefault="00370E82" w:rsidP="00370E82">
            <w:pPr>
              <w:spacing w:before="120"/>
            </w:pPr>
          </w:p>
        </w:tc>
      </w:tr>
      <w:tr w:rsidR="00370E82" w:rsidRPr="00C40C24" w:rsidTr="00164CC0">
        <w:tc>
          <w:tcPr>
            <w:tcW w:w="1809" w:type="dxa"/>
            <w:vMerge/>
          </w:tcPr>
          <w:p w:rsidR="00370E82" w:rsidRPr="00E667B6" w:rsidRDefault="00370E82" w:rsidP="00370E82"/>
        </w:tc>
        <w:tc>
          <w:tcPr>
            <w:tcW w:w="6379" w:type="dxa"/>
          </w:tcPr>
          <w:p w:rsidR="00370E82" w:rsidRPr="00E667B6" w:rsidRDefault="00370E82" w:rsidP="00370E82">
            <w:pPr>
              <w:autoSpaceDE w:val="0"/>
              <w:autoSpaceDN w:val="0"/>
              <w:adjustRightInd w:val="0"/>
              <w:spacing w:before="120"/>
            </w:pPr>
            <w:r w:rsidRPr="004E7191">
              <w:rPr>
                <w:rFonts w:cs="DejaVuSansCondensed"/>
                <w:u w:val="single"/>
              </w:rPr>
              <w:t>Falls erforderlich</w:t>
            </w:r>
            <w:r w:rsidRPr="00E667B6">
              <w:t>, sind große Mengen an Kulturflüssigkeit, bevor sie aus dem Fermenter genommen werden, zu inaktivieren.</w:t>
            </w:r>
          </w:p>
        </w:tc>
        <w:tc>
          <w:tcPr>
            <w:tcW w:w="1276" w:type="dxa"/>
          </w:tcPr>
          <w:p w:rsidR="00370E82" w:rsidRDefault="00370E82" w:rsidP="00370E82">
            <w:r w:rsidRPr="00C40C24">
              <w:t>GenTSV, Anhang III, B I</w:t>
            </w:r>
            <w:r>
              <w:t>.6</w:t>
            </w:r>
          </w:p>
        </w:tc>
        <w:sdt>
          <w:sdtPr>
            <w:id w:val="-599413676"/>
            <w14:checkbox>
              <w14:checked w14:val="0"/>
              <w14:checkedState w14:val="2612" w14:font="MS Gothic"/>
              <w14:uncheckedState w14:val="2610" w14:font="MS Gothic"/>
            </w14:checkbox>
          </w:sdtPr>
          <w:sdtEndPr/>
          <w:sdtContent>
            <w:tc>
              <w:tcPr>
                <w:tcW w:w="567" w:type="dxa"/>
                <w:vAlign w:val="center"/>
              </w:tcPr>
              <w:p w:rsidR="00370E82" w:rsidRPr="00C40C24" w:rsidRDefault="00370E82" w:rsidP="00370E82">
                <w:pPr>
                  <w:jc w:val="center"/>
                </w:pPr>
                <w:r>
                  <w:rPr>
                    <w:rFonts w:ascii="MS Gothic" w:eastAsia="MS Gothic" w:hAnsi="MS Gothic" w:hint="eastAsia"/>
                  </w:rPr>
                  <w:t>☐</w:t>
                </w:r>
              </w:p>
            </w:tc>
          </w:sdtContent>
        </w:sdt>
        <w:sdt>
          <w:sdtPr>
            <w:id w:val="1046337998"/>
            <w14:checkbox>
              <w14:checked w14:val="0"/>
              <w14:checkedState w14:val="2612" w14:font="MS Gothic"/>
              <w14:uncheckedState w14:val="2610" w14:font="MS Gothic"/>
            </w14:checkbox>
          </w:sdtPr>
          <w:sdtEndPr/>
          <w:sdtContent>
            <w:tc>
              <w:tcPr>
                <w:tcW w:w="567" w:type="dxa"/>
                <w:vAlign w:val="center"/>
              </w:tcPr>
              <w:p w:rsidR="00370E82" w:rsidRPr="00C40C24" w:rsidRDefault="00370E82" w:rsidP="00370E82">
                <w:pPr>
                  <w:jc w:val="center"/>
                </w:pPr>
                <w:r>
                  <w:rPr>
                    <w:rFonts w:ascii="MS Gothic" w:eastAsia="MS Gothic" w:hAnsi="MS Gothic" w:hint="eastAsia"/>
                  </w:rPr>
                  <w:t>☐</w:t>
                </w:r>
              </w:p>
            </w:tc>
          </w:sdtContent>
        </w:sdt>
        <w:sdt>
          <w:sdtPr>
            <w:id w:val="705755266"/>
            <w14:checkbox>
              <w14:checked w14:val="0"/>
              <w14:checkedState w14:val="2612" w14:font="MS Gothic"/>
              <w14:uncheckedState w14:val="2610" w14:font="MS Gothic"/>
            </w14:checkbox>
          </w:sdtPr>
          <w:sdtEndPr/>
          <w:sdtContent>
            <w:tc>
              <w:tcPr>
                <w:tcW w:w="709" w:type="dxa"/>
                <w:vAlign w:val="center"/>
              </w:tcPr>
              <w:p w:rsidR="00370E82" w:rsidRPr="00C40C24" w:rsidRDefault="00860B52" w:rsidP="00370E82">
                <w:pPr>
                  <w:jc w:val="center"/>
                </w:pPr>
                <w:r>
                  <w:rPr>
                    <w:rFonts w:ascii="MS Gothic" w:eastAsia="MS Gothic" w:hAnsi="MS Gothic" w:hint="eastAsia"/>
                  </w:rPr>
                  <w:t>☐</w:t>
                </w:r>
              </w:p>
            </w:tc>
          </w:sdtContent>
        </w:sdt>
        <w:tc>
          <w:tcPr>
            <w:tcW w:w="3827" w:type="dxa"/>
          </w:tcPr>
          <w:p w:rsidR="00370E82" w:rsidRPr="00C40C24" w:rsidRDefault="00370E82" w:rsidP="00370E82"/>
        </w:tc>
      </w:tr>
      <w:tr w:rsidR="00370E82" w:rsidRPr="00C40C24" w:rsidTr="00164CC0">
        <w:tc>
          <w:tcPr>
            <w:tcW w:w="1809" w:type="dxa"/>
          </w:tcPr>
          <w:p w:rsidR="00370E82" w:rsidRPr="00C40C24" w:rsidRDefault="00370E82" w:rsidP="00370E82">
            <w:pPr>
              <w:spacing w:before="120"/>
            </w:pPr>
            <w:r>
              <w:t>Aufarbeitung GVO</w:t>
            </w:r>
          </w:p>
        </w:tc>
        <w:tc>
          <w:tcPr>
            <w:tcW w:w="6379" w:type="dxa"/>
          </w:tcPr>
          <w:p w:rsidR="00370E82" w:rsidRPr="00C40C24" w:rsidRDefault="00370E82" w:rsidP="00370E82">
            <w:pPr>
              <w:spacing w:before="120"/>
            </w:pPr>
            <w:r>
              <w:t>Mikroorganismen ohne Gefährdungspotenzial können ohne Inaktivierungsmaßnahmen im offenen System weiterverarbeitet werden.</w:t>
            </w:r>
          </w:p>
        </w:tc>
        <w:tc>
          <w:tcPr>
            <w:tcW w:w="1276" w:type="dxa"/>
          </w:tcPr>
          <w:p w:rsidR="00370E82" w:rsidRPr="00C40C24" w:rsidRDefault="00370E82" w:rsidP="00370E82">
            <w:pPr>
              <w:spacing w:before="120"/>
            </w:pPr>
            <w:r>
              <w:t>Broschüre, S. 92</w:t>
            </w:r>
          </w:p>
        </w:tc>
        <w:sdt>
          <w:sdtPr>
            <w:id w:val="-1891575389"/>
            <w14:checkbox>
              <w14:checked w14:val="0"/>
              <w14:checkedState w14:val="2612" w14:font="MS Gothic"/>
              <w14:uncheckedState w14:val="2610" w14:font="MS Gothic"/>
            </w14:checkbox>
          </w:sdtPr>
          <w:sdtEndPr/>
          <w:sdtContent>
            <w:tc>
              <w:tcPr>
                <w:tcW w:w="567" w:type="dxa"/>
                <w:vAlign w:val="center"/>
              </w:tcPr>
              <w:p w:rsidR="00370E82" w:rsidRPr="00C40C24" w:rsidRDefault="00860B52" w:rsidP="00370E82">
                <w:pPr>
                  <w:spacing w:before="120"/>
                  <w:jc w:val="center"/>
                </w:pPr>
                <w:r>
                  <w:rPr>
                    <w:rFonts w:ascii="MS Gothic" w:eastAsia="MS Gothic" w:hAnsi="MS Gothic" w:hint="eastAsia"/>
                  </w:rPr>
                  <w:t>☐</w:t>
                </w:r>
              </w:p>
            </w:tc>
          </w:sdtContent>
        </w:sdt>
        <w:sdt>
          <w:sdtPr>
            <w:id w:val="1824383892"/>
            <w14:checkbox>
              <w14:checked w14:val="0"/>
              <w14:checkedState w14:val="2612" w14:font="MS Gothic"/>
              <w14:uncheckedState w14:val="2610" w14:font="MS Gothic"/>
            </w14:checkbox>
          </w:sdtPr>
          <w:sdtEndPr/>
          <w:sdtContent>
            <w:tc>
              <w:tcPr>
                <w:tcW w:w="567" w:type="dxa"/>
                <w:vAlign w:val="center"/>
              </w:tcPr>
              <w:p w:rsidR="00370E82" w:rsidRPr="00C40C24" w:rsidRDefault="00370E82" w:rsidP="00370E82">
                <w:pPr>
                  <w:spacing w:before="120"/>
                  <w:jc w:val="center"/>
                </w:pPr>
                <w:r>
                  <w:rPr>
                    <w:rFonts w:ascii="MS Gothic" w:eastAsia="MS Gothic" w:hAnsi="MS Gothic" w:hint="eastAsia"/>
                  </w:rPr>
                  <w:t>☐</w:t>
                </w:r>
              </w:p>
            </w:tc>
          </w:sdtContent>
        </w:sdt>
        <w:sdt>
          <w:sdtPr>
            <w:id w:val="9967298"/>
            <w14:checkbox>
              <w14:checked w14:val="0"/>
              <w14:checkedState w14:val="2612" w14:font="MS Gothic"/>
              <w14:uncheckedState w14:val="2610" w14:font="MS Gothic"/>
            </w14:checkbox>
          </w:sdtPr>
          <w:sdtEndPr/>
          <w:sdtContent>
            <w:tc>
              <w:tcPr>
                <w:tcW w:w="709" w:type="dxa"/>
                <w:vAlign w:val="center"/>
              </w:tcPr>
              <w:p w:rsidR="00370E82" w:rsidRPr="00C40C24" w:rsidRDefault="00370E82" w:rsidP="00370E82">
                <w:pPr>
                  <w:spacing w:before="120"/>
                  <w:jc w:val="center"/>
                </w:pPr>
                <w:r>
                  <w:rPr>
                    <w:rFonts w:ascii="MS Gothic" w:eastAsia="MS Gothic" w:hAnsi="MS Gothic" w:hint="eastAsia"/>
                  </w:rPr>
                  <w:t>☐</w:t>
                </w:r>
              </w:p>
            </w:tc>
          </w:sdtContent>
        </w:sdt>
        <w:tc>
          <w:tcPr>
            <w:tcW w:w="3827" w:type="dxa"/>
          </w:tcPr>
          <w:p w:rsidR="00370E82" w:rsidRPr="00C40C24" w:rsidRDefault="00370E82" w:rsidP="00370E82">
            <w:pPr>
              <w:spacing w:before="120"/>
            </w:pPr>
          </w:p>
        </w:tc>
      </w:tr>
      <w:tr w:rsidR="00370E82" w:rsidRPr="00C40C24" w:rsidTr="00164CC0">
        <w:tc>
          <w:tcPr>
            <w:tcW w:w="1809" w:type="dxa"/>
            <w:vMerge w:val="restart"/>
          </w:tcPr>
          <w:p w:rsidR="00370E82" w:rsidRPr="00C40C24" w:rsidRDefault="00370E82" w:rsidP="00370E82">
            <w:pPr>
              <w:spacing w:before="120"/>
            </w:pPr>
            <w:r>
              <w:t>Störfälle</w:t>
            </w:r>
          </w:p>
        </w:tc>
        <w:tc>
          <w:tcPr>
            <w:tcW w:w="6379" w:type="dxa"/>
          </w:tcPr>
          <w:p w:rsidR="00370E82" w:rsidRPr="00C40C24" w:rsidRDefault="00370E82" w:rsidP="00370E82">
            <w:pPr>
              <w:autoSpaceDE w:val="0"/>
              <w:autoSpaceDN w:val="0"/>
              <w:adjustRightInd w:val="0"/>
              <w:spacing w:before="120"/>
            </w:pPr>
            <w:r w:rsidRPr="00C40C24">
              <w:rPr>
                <w:rFonts w:cs="DejaVuSansCondensed"/>
                <w:u w:val="single"/>
              </w:rPr>
              <w:t>Falls erforderlich</w:t>
            </w:r>
            <w:r w:rsidRPr="00C40C24">
              <w:rPr>
                <w:rFonts w:cs="DejaVuSansCondensed"/>
              </w:rPr>
              <w:t xml:space="preserve">, muss der Arbeitsbereich so ausgelegt sein, dass bei Austreten des gesamten Inhalts des Fermenters dieser aufgefangen werden kann. </w:t>
            </w:r>
            <w:r>
              <w:rPr>
                <w:rFonts w:cs="DejaVuSansCondensed"/>
              </w:rPr>
              <w:t>[Auffangwanne]</w:t>
            </w:r>
          </w:p>
        </w:tc>
        <w:tc>
          <w:tcPr>
            <w:tcW w:w="1276" w:type="dxa"/>
          </w:tcPr>
          <w:p w:rsidR="00370E82" w:rsidRPr="00C40C24" w:rsidRDefault="00370E82" w:rsidP="00370E82">
            <w:pPr>
              <w:spacing w:before="120"/>
            </w:pPr>
            <w:r w:rsidRPr="00C40C24">
              <w:t>GenTSV, Anhang III, B I.7</w:t>
            </w:r>
          </w:p>
        </w:tc>
        <w:sdt>
          <w:sdtPr>
            <w:id w:val="332663318"/>
            <w14:checkbox>
              <w14:checked w14:val="0"/>
              <w14:checkedState w14:val="2612" w14:font="MS Gothic"/>
              <w14:uncheckedState w14:val="2610" w14:font="MS Gothic"/>
            </w14:checkbox>
          </w:sdtPr>
          <w:sdtEndPr/>
          <w:sdtContent>
            <w:tc>
              <w:tcPr>
                <w:tcW w:w="567" w:type="dxa"/>
                <w:vAlign w:val="center"/>
              </w:tcPr>
              <w:p w:rsidR="00370E82" w:rsidRPr="00C40C24" w:rsidRDefault="00860B52" w:rsidP="00370E82">
                <w:pPr>
                  <w:spacing w:before="120"/>
                  <w:jc w:val="center"/>
                </w:pPr>
                <w:r>
                  <w:rPr>
                    <w:rFonts w:ascii="MS Gothic" w:eastAsia="MS Gothic" w:hAnsi="MS Gothic" w:hint="eastAsia"/>
                  </w:rPr>
                  <w:t>☐</w:t>
                </w:r>
              </w:p>
            </w:tc>
          </w:sdtContent>
        </w:sdt>
        <w:sdt>
          <w:sdtPr>
            <w:id w:val="1819913342"/>
            <w14:checkbox>
              <w14:checked w14:val="0"/>
              <w14:checkedState w14:val="2612" w14:font="MS Gothic"/>
              <w14:uncheckedState w14:val="2610" w14:font="MS Gothic"/>
            </w14:checkbox>
          </w:sdtPr>
          <w:sdtEndPr/>
          <w:sdtContent>
            <w:tc>
              <w:tcPr>
                <w:tcW w:w="567" w:type="dxa"/>
                <w:vAlign w:val="center"/>
              </w:tcPr>
              <w:p w:rsidR="00370E82" w:rsidRPr="00C40C24" w:rsidRDefault="00370E82" w:rsidP="00370E82">
                <w:pPr>
                  <w:spacing w:before="120"/>
                  <w:jc w:val="center"/>
                </w:pPr>
                <w:r>
                  <w:rPr>
                    <w:rFonts w:ascii="MS Gothic" w:eastAsia="MS Gothic" w:hAnsi="MS Gothic" w:hint="eastAsia"/>
                  </w:rPr>
                  <w:t>☐</w:t>
                </w:r>
              </w:p>
            </w:tc>
          </w:sdtContent>
        </w:sdt>
        <w:sdt>
          <w:sdtPr>
            <w:id w:val="1473406686"/>
            <w14:checkbox>
              <w14:checked w14:val="0"/>
              <w14:checkedState w14:val="2612" w14:font="MS Gothic"/>
              <w14:uncheckedState w14:val="2610" w14:font="MS Gothic"/>
            </w14:checkbox>
          </w:sdtPr>
          <w:sdtEndPr/>
          <w:sdtContent>
            <w:tc>
              <w:tcPr>
                <w:tcW w:w="709" w:type="dxa"/>
                <w:vAlign w:val="center"/>
              </w:tcPr>
              <w:p w:rsidR="00370E82" w:rsidRPr="00C40C24" w:rsidRDefault="00370E82" w:rsidP="00370E82">
                <w:pPr>
                  <w:spacing w:before="120"/>
                  <w:jc w:val="center"/>
                </w:pPr>
                <w:r>
                  <w:rPr>
                    <w:rFonts w:ascii="MS Gothic" w:eastAsia="MS Gothic" w:hAnsi="MS Gothic" w:hint="eastAsia"/>
                  </w:rPr>
                  <w:t>☐</w:t>
                </w:r>
              </w:p>
            </w:tc>
          </w:sdtContent>
        </w:sdt>
        <w:tc>
          <w:tcPr>
            <w:tcW w:w="3827" w:type="dxa"/>
          </w:tcPr>
          <w:p w:rsidR="00370E82" w:rsidRPr="00C40C24" w:rsidRDefault="00370E82" w:rsidP="00370E82">
            <w:pPr>
              <w:spacing w:before="120"/>
            </w:pPr>
          </w:p>
        </w:tc>
      </w:tr>
      <w:tr w:rsidR="00370E82" w:rsidRPr="00C40C24" w:rsidTr="00164CC0">
        <w:tc>
          <w:tcPr>
            <w:tcW w:w="1809" w:type="dxa"/>
            <w:vMerge/>
          </w:tcPr>
          <w:p w:rsidR="00370E82" w:rsidRPr="00C40C24" w:rsidRDefault="00370E82" w:rsidP="00370E82">
            <w:pPr>
              <w:spacing w:before="120"/>
            </w:pPr>
          </w:p>
        </w:tc>
        <w:tc>
          <w:tcPr>
            <w:tcW w:w="6379" w:type="dxa"/>
          </w:tcPr>
          <w:p w:rsidR="00370E82" w:rsidRPr="00C40C24" w:rsidRDefault="00370E82" w:rsidP="00370E82">
            <w:pPr>
              <w:autoSpaceDE w:val="0"/>
              <w:autoSpaceDN w:val="0"/>
              <w:adjustRightInd w:val="0"/>
              <w:spacing w:before="120"/>
              <w:rPr>
                <w:rFonts w:cs="DejaVuSansCondensed"/>
              </w:rPr>
            </w:pPr>
            <w:r w:rsidRPr="00C40C24">
              <w:rPr>
                <w:rFonts w:cs="DejaVuSansCondensed"/>
              </w:rPr>
              <w:t>Geeignete Desinfektionsmittel müssen vorhanden sein</w:t>
            </w:r>
          </w:p>
        </w:tc>
        <w:tc>
          <w:tcPr>
            <w:tcW w:w="1276" w:type="dxa"/>
          </w:tcPr>
          <w:p w:rsidR="00370E82" w:rsidRPr="00C40C24" w:rsidRDefault="00370E82" w:rsidP="00370E82">
            <w:pPr>
              <w:spacing w:before="120"/>
            </w:pPr>
            <w:r>
              <w:t>Broschüre, S. 91</w:t>
            </w:r>
          </w:p>
        </w:tc>
        <w:sdt>
          <w:sdtPr>
            <w:id w:val="1372498944"/>
            <w14:checkbox>
              <w14:checked w14:val="0"/>
              <w14:checkedState w14:val="2612" w14:font="MS Gothic"/>
              <w14:uncheckedState w14:val="2610" w14:font="MS Gothic"/>
            </w14:checkbox>
          </w:sdtPr>
          <w:sdtEndPr/>
          <w:sdtContent>
            <w:tc>
              <w:tcPr>
                <w:tcW w:w="567" w:type="dxa"/>
                <w:vAlign w:val="center"/>
              </w:tcPr>
              <w:p w:rsidR="00370E82" w:rsidRPr="00C40C24" w:rsidRDefault="00860B52" w:rsidP="00370E82">
                <w:pPr>
                  <w:spacing w:before="120"/>
                  <w:jc w:val="center"/>
                </w:pPr>
                <w:r>
                  <w:rPr>
                    <w:rFonts w:ascii="MS Gothic" w:eastAsia="MS Gothic" w:hAnsi="MS Gothic" w:hint="eastAsia"/>
                  </w:rPr>
                  <w:t>☐</w:t>
                </w:r>
              </w:p>
            </w:tc>
          </w:sdtContent>
        </w:sdt>
        <w:sdt>
          <w:sdtPr>
            <w:id w:val="-1990848343"/>
            <w14:checkbox>
              <w14:checked w14:val="0"/>
              <w14:checkedState w14:val="2612" w14:font="MS Gothic"/>
              <w14:uncheckedState w14:val="2610" w14:font="MS Gothic"/>
            </w14:checkbox>
          </w:sdtPr>
          <w:sdtEndPr/>
          <w:sdtContent>
            <w:tc>
              <w:tcPr>
                <w:tcW w:w="567" w:type="dxa"/>
                <w:vAlign w:val="center"/>
              </w:tcPr>
              <w:p w:rsidR="00370E82" w:rsidRPr="00C40C24" w:rsidRDefault="00370E82" w:rsidP="00370E82">
                <w:pPr>
                  <w:spacing w:before="120"/>
                  <w:jc w:val="center"/>
                </w:pPr>
                <w:r>
                  <w:rPr>
                    <w:rFonts w:ascii="MS Gothic" w:eastAsia="MS Gothic" w:hAnsi="MS Gothic" w:hint="eastAsia"/>
                  </w:rPr>
                  <w:t>☐</w:t>
                </w:r>
              </w:p>
            </w:tc>
          </w:sdtContent>
        </w:sdt>
        <w:sdt>
          <w:sdtPr>
            <w:id w:val="-1538271553"/>
            <w14:checkbox>
              <w14:checked w14:val="0"/>
              <w14:checkedState w14:val="2612" w14:font="MS Gothic"/>
              <w14:uncheckedState w14:val="2610" w14:font="MS Gothic"/>
            </w14:checkbox>
          </w:sdtPr>
          <w:sdtEndPr/>
          <w:sdtContent>
            <w:tc>
              <w:tcPr>
                <w:tcW w:w="709" w:type="dxa"/>
                <w:vAlign w:val="center"/>
              </w:tcPr>
              <w:p w:rsidR="00370E82" w:rsidRPr="00C40C24" w:rsidRDefault="00370E82" w:rsidP="00370E82">
                <w:pPr>
                  <w:spacing w:before="120"/>
                  <w:jc w:val="center"/>
                </w:pPr>
                <w:r>
                  <w:rPr>
                    <w:rFonts w:ascii="MS Gothic" w:eastAsia="MS Gothic" w:hAnsi="MS Gothic" w:hint="eastAsia"/>
                  </w:rPr>
                  <w:t>☐</w:t>
                </w:r>
              </w:p>
            </w:tc>
          </w:sdtContent>
        </w:sdt>
        <w:tc>
          <w:tcPr>
            <w:tcW w:w="3827" w:type="dxa"/>
          </w:tcPr>
          <w:p w:rsidR="00370E82" w:rsidRPr="00C40C24" w:rsidRDefault="00370E82" w:rsidP="00370E82">
            <w:pPr>
              <w:spacing w:before="120"/>
            </w:pPr>
          </w:p>
        </w:tc>
      </w:tr>
      <w:tr w:rsidR="00370E82" w:rsidRPr="00C40C24" w:rsidTr="00164CC0">
        <w:tc>
          <w:tcPr>
            <w:tcW w:w="1809" w:type="dxa"/>
          </w:tcPr>
          <w:p w:rsidR="00370E82" w:rsidRPr="00C40C24" w:rsidRDefault="00370E82" w:rsidP="00370E82">
            <w:pPr>
              <w:spacing w:before="120"/>
            </w:pPr>
            <w:r w:rsidRPr="00C40C24">
              <w:t>Abwasser</w:t>
            </w:r>
            <w:r w:rsidR="00AA49BA">
              <w:t>-</w:t>
            </w:r>
            <w:r w:rsidRPr="00C40C24">
              <w:t>behandlung</w:t>
            </w:r>
          </w:p>
        </w:tc>
        <w:tc>
          <w:tcPr>
            <w:tcW w:w="6379" w:type="dxa"/>
          </w:tcPr>
          <w:p w:rsidR="00370E82" w:rsidRPr="00C40C24" w:rsidRDefault="006E7BA9" w:rsidP="00370E82">
            <w:pPr>
              <w:spacing w:before="120"/>
            </w:pPr>
            <w:r>
              <w:t>Abwasser werden vor Entsorgung autoklaviert</w:t>
            </w:r>
          </w:p>
        </w:tc>
        <w:tc>
          <w:tcPr>
            <w:tcW w:w="1276" w:type="dxa"/>
          </w:tcPr>
          <w:p w:rsidR="00370E82" w:rsidRPr="00C40C24" w:rsidRDefault="00370E82" w:rsidP="00370E82">
            <w:pPr>
              <w:spacing w:before="120"/>
            </w:pPr>
          </w:p>
        </w:tc>
        <w:sdt>
          <w:sdtPr>
            <w:id w:val="877506707"/>
            <w14:checkbox>
              <w14:checked w14:val="0"/>
              <w14:checkedState w14:val="2612" w14:font="MS Gothic"/>
              <w14:uncheckedState w14:val="2610" w14:font="MS Gothic"/>
            </w14:checkbox>
          </w:sdtPr>
          <w:sdtEndPr/>
          <w:sdtContent>
            <w:tc>
              <w:tcPr>
                <w:tcW w:w="567" w:type="dxa"/>
                <w:vAlign w:val="center"/>
              </w:tcPr>
              <w:p w:rsidR="00370E82" w:rsidRPr="00C40C24" w:rsidRDefault="00860B52" w:rsidP="00370E82">
                <w:pPr>
                  <w:spacing w:before="120"/>
                  <w:jc w:val="center"/>
                </w:pPr>
                <w:r>
                  <w:rPr>
                    <w:rFonts w:ascii="MS Gothic" w:eastAsia="MS Gothic" w:hAnsi="MS Gothic" w:hint="eastAsia"/>
                  </w:rPr>
                  <w:t>☐</w:t>
                </w:r>
              </w:p>
            </w:tc>
          </w:sdtContent>
        </w:sdt>
        <w:sdt>
          <w:sdtPr>
            <w:id w:val="2019731422"/>
            <w14:checkbox>
              <w14:checked w14:val="0"/>
              <w14:checkedState w14:val="2612" w14:font="MS Gothic"/>
              <w14:uncheckedState w14:val="2610" w14:font="MS Gothic"/>
            </w14:checkbox>
          </w:sdtPr>
          <w:sdtEndPr/>
          <w:sdtContent>
            <w:tc>
              <w:tcPr>
                <w:tcW w:w="567" w:type="dxa"/>
                <w:vAlign w:val="center"/>
              </w:tcPr>
              <w:p w:rsidR="00370E82" w:rsidRPr="00C40C24" w:rsidRDefault="006E7BA9" w:rsidP="00370E82">
                <w:pPr>
                  <w:spacing w:before="120"/>
                  <w:jc w:val="center"/>
                </w:pPr>
                <w:r>
                  <w:rPr>
                    <w:rFonts w:ascii="MS Gothic" w:eastAsia="MS Gothic" w:hAnsi="MS Gothic" w:hint="eastAsia"/>
                  </w:rPr>
                  <w:t>☐</w:t>
                </w:r>
              </w:p>
            </w:tc>
          </w:sdtContent>
        </w:sdt>
        <w:sdt>
          <w:sdtPr>
            <w:id w:val="-838009419"/>
            <w14:checkbox>
              <w14:checked w14:val="0"/>
              <w14:checkedState w14:val="2612" w14:font="MS Gothic"/>
              <w14:uncheckedState w14:val="2610" w14:font="MS Gothic"/>
            </w14:checkbox>
          </w:sdtPr>
          <w:sdtEndPr/>
          <w:sdtContent>
            <w:tc>
              <w:tcPr>
                <w:tcW w:w="709" w:type="dxa"/>
                <w:vAlign w:val="center"/>
              </w:tcPr>
              <w:p w:rsidR="00370E82" w:rsidRPr="00C40C24" w:rsidRDefault="00370E82" w:rsidP="00370E82">
                <w:pPr>
                  <w:spacing w:before="120"/>
                  <w:jc w:val="center"/>
                </w:pPr>
                <w:r>
                  <w:rPr>
                    <w:rFonts w:ascii="MS Gothic" w:eastAsia="MS Gothic" w:hAnsi="MS Gothic" w:hint="eastAsia"/>
                  </w:rPr>
                  <w:t>☐</w:t>
                </w:r>
              </w:p>
            </w:tc>
          </w:sdtContent>
        </w:sdt>
        <w:tc>
          <w:tcPr>
            <w:tcW w:w="3827" w:type="dxa"/>
          </w:tcPr>
          <w:p w:rsidR="00370E82" w:rsidRPr="00C40C24" w:rsidRDefault="00370E82" w:rsidP="00370E82">
            <w:pPr>
              <w:spacing w:before="120"/>
            </w:pPr>
          </w:p>
        </w:tc>
      </w:tr>
      <w:tr w:rsidR="00B64CA2" w:rsidRPr="00C40C24" w:rsidTr="00164CC0">
        <w:tc>
          <w:tcPr>
            <w:tcW w:w="1809" w:type="dxa"/>
            <w:vMerge w:val="restart"/>
          </w:tcPr>
          <w:p w:rsidR="00B64CA2" w:rsidRPr="00C40C24" w:rsidRDefault="00B64CA2" w:rsidP="00370E82">
            <w:pPr>
              <w:spacing w:before="120"/>
            </w:pPr>
            <w:r>
              <w:t>Prüfungen</w:t>
            </w:r>
          </w:p>
        </w:tc>
        <w:tc>
          <w:tcPr>
            <w:tcW w:w="6379" w:type="dxa"/>
          </w:tcPr>
          <w:p w:rsidR="00B64CA2" w:rsidRPr="00C40C24" w:rsidRDefault="00D72E66" w:rsidP="00D72E66">
            <w:pPr>
              <w:spacing w:before="120"/>
            </w:pPr>
            <w:r>
              <w:t xml:space="preserve">Der im </w:t>
            </w:r>
            <w:r w:rsidR="00B64CA2" w:rsidRPr="00C40C24">
              <w:t xml:space="preserve">Fermenter </w:t>
            </w:r>
            <w:r>
              <w:t xml:space="preserve">enthaltene Druckbehälter unterliegt als überwachungsbedürftige Anlage der </w:t>
            </w:r>
            <w:r w:rsidR="00B64CA2">
              <w:t xml:space="preserve">Betriebssicherheitsverordnung. Ist das Produkt aus PS x </w:t>
            </w:r>
            <w:proofErr w:type="spellStart"/>
            <w:r w:rsidR="00B64CA2">
              <w:t>Vol</w:t>
            </w:r>
            <w:proofErr w:type="spellEnd"/>
            <w:r w:rsidR="00B64CA2">
              <w:t xml:space="preserve"> (bar x Liter) größer 50, bestehen Prüfpflichten </w:t>
            </w:r>
            <w:r>
              <w:t>durch die befähigte Person bzw. durch die ZÜS.</w:t>
            </w:r>
          </w:p>
        </w:tc>
        <w:tc>
          <w:tcPr>
            <w:tcW w:w="1276" w:type="dxa"/>
          </w:tcPr>
          <w:p w:rsidR="00B64CA2" w:rsidRPr="00C40C24" w:rsidRDefault="00B64CA2" w:rsidP="00370E82">
            <w:pPr>
              <w:spacing w:before="120"/>
            </w:pPr>
            <w:r w:rsidRPr="00C40C24">
              <w:t>BetrSichV</w:t>
            </w:r>
            <w:r w:rsidR="00164CC0">
              <w:t>, Abschnitt 4, Tab. 4</w:t>
            </w:r>
          </w:p>
        </w:tc>
        <w:sdt>
          <w:sdtPr>
            <w:id w:val="-404604281"/>
            <w14:checkbox>
              <w14:checked w14:val="0"/>
              <w14:checkedState w14:val="2612" w14:font="MS Gothic"/>
              <w14:uncheckedState w14:val="2610" w14:font="MS Gothic"/>
            </w14:checkbox>
          </w:sdtPr>
          <w:sdtEndPr/>
          <w:sdtContent>
            <w:tc>
              <w:tcPr>
                <w:tcW w:w="567" w:type="dxa"/>
                <w:vAlign w:val="center"/>
              </w:tcPr>
              <w:p w:rsidR="00B64CA2" w:rsidRPr="00C40C24" w:rsidRDefault="00860B52" w:rsidP="00370E82">
                <w:pPr>
                  <w:spacing w:before="120"/>
                  <w:jc w:val="center"/>
                </w:pPr>
                <w:r>
                  <w:rPr>
                    <w:rFonts w:ascii="MS Gothic" w:eastAsia="MS Gothic" w:hAnsi="MS Gothic" w:hint="eastAsia"/>
                  </w:rPr>
                  <w:t>☐</w:t>
                </w:r>
              </w:p>
            </w:tc>
          </w:sdtContent>
        </w:sdt>
        <w:sdt>
          <w:sdtPr>
            <w:id w:val="-1374689975"/>
            <w14:checkbox>
              <w14:checked w14:val="0"/>
              <w14:checkedState w14:val="2612" w14:font="MS Gothic"/>
              <w14:uncheckedState w14:val="2610" w14:font="MS Gothic"/>
            </w14:checkbox>
          </w:sdtPr>
          <w:sdtEndPr/>
          <w:sdtContent>
            <w:tc>
              <w:tcPr>
                <w:tcW w:w="567" w:type="dxa"/>
                <w:vAlign w:val="center"/>
              </w:tcPr>
              <w:p w:rsidR="00B64CA2" w:rsidRPr="00C40C24" w:rsidRDefault="00B64CA2" w:rsidP="00370E82">
                <w:pPr>
                  <w:spacing w:before="120"/>
                  <w:jc w:val="center"/>
                </w:pPr>
                <w:r>
                  <w:rPr>
                    <w:rFonts w:ascii="MS Gothic" w:eastAsia="MS Gothic" w:hAnsi="MS Gothic" w:hint="eastAsia"/>
                  </w:rPr>
                  <w:t>☐</w:t>
                </w:r>
              </w:p>
            </w:tc>
          </w:sdtContent>
        </w:sdt>
        <w:sdt>
          <w:sdtPr>
            <w:id w:val="-1403051044"/>
            <w14:checkbox>
              <w14:checked w14:val="0"/>
              <w14:checkedState w14:val="2612" w14:font="MS Gothic"/>
              <w14:uncheckedState w14:val="2610" w14:font="MS Gothic"/>
            </w14:checkbox>
          </w:sdtPr>
          <w:sdtEndPr/>
          <w:sdtContent>
            <w:tc>
              <w:tcPr>
                <w:tcW w:w="709" w:type="dxa"/>
                <w:vAlign w:val="center"/>
              </w:tcPr>
              <w:p w:rsidR="00B64CA2" w:rsidRPr="00C40C24" w:rsidRDefault="00860B52" w:rsidP="00370E82">
                <w:pPr>
                  <w:spacing w:before="120"/>
                  <w:jc w:val="center"/>
                </w:pPr>
                <w:r>
                  <w:rPr>
                    <w:rFonts w:ascii="MS Gothic" w:eastAsia="MS Gothic" w:hAnsi="MS Gothic" w:hint="eastAsia"/>
                  </w:rPr>
                  <w:t>☐</w:t>
                </w:r>
              </w:p>
            </w:tc>
          </w:sdtContent>
        </w:sdt>
        <w:tc>
          <w:tcPr>
            <w:tcW w:w="3827" w:type="dxa"/>
          </w:tcPr>
          <w:p w:rsidR="00B64CA2" w:rsidRPr="00C40C24" w:rsidRDefault="00B64CA2" w:rsidP="00370E82">
            <w:pPr>
              <w:spacing w:before="120"/>
            </w:pPr>
          </w:p>
        </w:tc>
      </w:tr>
      <w:tr w:rsidR="006E7BA9" w:rsidRPr="00C40C24" w:rsidTr="00164CC0">
        <w:tc>
          <w:tcPr>
            <w:tcW w:w="1809" w:type="dxa"/>
            <w:vMerge/>
          </w:tcPr>
          <w:p w:rsidR="006E7BA9" w:rsidRDefault="006E7BA9" w:rsidP="006E7BA9">
            <w:pPr>
              <w:spacing w:before="120"/>
            </w:pPr>
          </w:p>
        </w:tc>
        <w:tc>
          <w:tcPr>
            <w:tcW w:w="6379" w:type="dxa"/>
          </w:tcPr>
          <w:p w:rsidR="006E7BA9" w:rsidRPr="00C40C24" w:rsidRDefault="006E7BA9" w:rsidP="00D72E66">
            <w:pPr>
              <w:spacing w:before="120"/>
            </w:pPr>
            <w:r>
              <w:t xml:space="preserve">elektrische Prüfungen für ortsfeste Geräte alle 4 Jahre durchführen, bewegliche elektrische Verbindungen, Stecker usw. alle </w:t>
            </w:r>
            <w:r w:rsidR="00D72E66">
              <w:t>12</w:t>
            </w:r>
            <w:r>
              <w:t xml:space="preserve"> Monate prüfen lassen durch eine befähigte Person</w:t>
            </w:r>
          </w:p>
        </w:tc>
        <w:tc>
          <w:tcPr>
            <w:tcW w:w="1276" w:type="dxa"/>
          </w:tcPr>
          <w:p w:rsidR="006E7BA9" w:rsidRPr="00C40C24" w:rsidRDefault="006E7BA9" w:rsidP="006E7BA9">
            <w:pPr>
              <w:spacing w:before="120"/>
            </w:pPr>
          </w:p>
        </w:tc>
        <w:sdt>
          <w:sdtPr>
            <w:id w:val="681012671"/>
            <w14:checkbox>
              <w14:checked w14:val="0"/>
              <w14:checkedState w14:val="2612" w14:font="MS Gothic"/>
              <w14:uncheckedState w14:val="2610" w14:font="MS Gothic"/>
            </w14:checkbox>
          </w:sdtPr>
          <w:sdtEndPr/>
          <w:sdtContent>
            <w:tc>
              <w:tcPr>
                <w:tcW w:w="567" w:type="dxa"/>
                <w:vAlign w:val="center"/>
              </w:tcPr>
              <w:p w:rsidR="006E7BA9" w:rsidRPr="00C40C24" w:rsidRDefault="006E7BA9" w:rsidP="006E7BA9">
                <w:pPr>
                  <w:spacing w:before="120"/>
                  <w:jc w:val="center"/>
                </w:pPr>
                <w:r>
                  <w:rPr>
                    <w:rFonts w:ascii="MS Gothic" w:eastAsia="MS Gothic" w:hAnsi="MS Gothic" w:hint="eastAsia"/>
                  </w:rPr>
                  <w:t>☐</w:t>
                </w:r>
              </w:p>
            </w:tc>
          </w:sdtContent>
        </w:sdt>
        <w:sdt>
          <w:sdtPr>
            <w:id w:val="-1887403355"/>
            <w14:checkbox>
              <w14:checked w14:val="0"/>
              <w14:checkedState w14:val="2612" w14:font="MS Gothic"/>
              <w14:uncheckedState w14:val="2610" w14:font="MS Gothic"/>
            </w14:checkbox>
          </w:sdtPr>
          <w:sdtEndPr/>
          <w:sdtContent>
            <w:tc>
              <w:tcPr>
                <w:tcW w:w="567" w:type="dxa"/>
                <w:vAlign w:val="center"/>
              </w:tcPr>
              <w:p w:rsidR="006E7BA9" w:rsidRPr="00C40C24" w:rsidRDefault="00860B52" w:rsidP="006E7BA9">
                <w:pPr>
                  <w:spacing w:before="120"/>
                  <w:jc w:val="center"/>
                </w:pPr>
                <w:r>
                  <w:rPr>
                    <w:rFonts w:ascii="MS Gothic" w:eastAsia="MS Gothic" w:hAnsi="MS Gothic" w:hint="eastAsia"/>
                  </w:rPr>
                  <w:t>☐</w:t>
                </w:r>
              </w:p>
            </w:tc>
          </w:sdtContent>
        </w:sdt>
        <w:sdt>
          <w:sdtPr>
            <w:id w:val="1447198261"/>
            <w14:checkbox>
              <w14:checked w14:val="0"/>
              <w14:checkedState w14:val="2612" w14:font="MS Gothic"/>
              <w14:uncheckedState w14:val="2610" w14:font="MS Gothic"/>
            </w14:checkbox>
          </w:sdtPr>
          <w:sdtEndPr/>
          <w:sdtContent>
            <w:tc>
              <w:tcPr>
                <w:tcW w:w="709" w:type="dxa"/>
                <w:vAlign w:val="center"/>
              </w:tcPr>
              <w:p w:rsidR="006E7BA9" w:rsidRPr="00C40C24" w:rsidRDefault="006E7BA9" w:rsidP="006E7BA9">
                <w:pPr>
                  <w:spacing w:before="120"/>
                  <w:jc w:val="center"/>
                </w:pPr>
                <w:r>
                  <w:rPr>
                    <w:rFonts w:ascii="MS Gothic" w:eastAsia="MS Gothic" w:hAnsi="MS Gothic" w:hint="eastAsia"/>
                  </w:rPr>
                  <w:t>☐</w:t>
                </w:r>
              </w:p>
            </w:tc>
          </w:sdtContent>
        </w:sdt>
        <w:tc>
          <w:tcPr>
            <w:tcW w:w="3827" w:type="dxa"/>
          </w:tcPr>
          <w:p w:rsidR="006E7BA9" w:rsidRDefault="006E7BA9" w:rsidP="006E7BA9">
            <w:pPr>
              <w:spacing w:before="120"/>
            </w:pPr>
          </w:p>
        </w:tc>
      </w:tr>
      <w:tr w:rsidR="006E7BA9" w:rsidRPr="00C40C24" w:rsidTr="00164CC0">
        <w:tc>
          <w:tcPr>
            <w:tcW w:w="1809" w:type="dxa"/>
            <w:vMerge/>
          </w:tcPr>
          <w:p w:rsidR="006E7BA9" w:rsidRPr="00C40C24" w:rsidRDefault="006E7BA9" w:rsidP="006E7BA9">
            <w:pPr>
              <w:spacing w:before="120"/>
            </w:pPr>
          </w:p>
        </w:tc>
        <w:tc>
          <w:tcPr>
            <w:tcW w:w="6379" w:type="dxa"/>
          </w:tcPr>
          <w:p w:rsidR="00AA49BA" w:rsidRDefault="006E7BA9" w:rsidP="006E7BA9">
            <w:pPr>
              <w:spacing w:before="120"/>
            </w:pPr>
            <w:r>
              <w:t xml:space="preserve">Gemäß den Vorgaben des Herstellers muss die Sicherheitstechnische Ausstattung regelmäßig überprüft werden, </w:t>
            </w:r>
            <w:proofErr w:type="spellStart"/>
            <w:r>
              <w:t>zB</w:t>
            </w:r>
            <w:proofErr w:type="spellEnd"/>
            <w:r>
              <w:t xml:space="preserve"> Sicherheitsventile, Dichtungen, Schlauchleitungen, Schraubverbindungen</w:t>
            </w:r>
            <w:r w:rsidR="00AA49BA">
              <w:t xml:space="preserve">. </w:t>
            </w:r>
          </w:p>
          <w:p w:rsidR="006E7BA9" w:rsidRPr="00C40C24" w:rsidRDefault="00AA49BA" w:rsidP="006E7BA9">
            <w:pPr>
              <w:spacing w:before="120"/>
            </w:pPr>
            <w:r>
              <w:t xml:space="preserve">Infos hierzu sind </w:t>
            </w:r>
            <w:proofErr w:type="spellStart"/>
            <w:r>
              <w:t>zB</w:t>
            </w:r>
            <w:proofErr w:type="spellEnd"/>
            <w:r>
              <w:t xml:space="preserve"> im Handbuch zu finden oder direkt beim Hersteller.</w:t>
            </w:r>
            <w:bookmarkStart w:id="0" w:name="_GoBack"/>
            <w:bookmarkEnd w:id="0"/>
          </w:p>
        </w:tc>
        <w:tc>
          <w:tcPr>
            <w:tcW w:w="1276" w:type="dxa"/>
          </w:tcPr>
          <w:p w:rsidR="006E7BA9" w:rsidRPr="00C40C24" w:rsidRDefault="006E7BA9" w:rsidP="006E7BA9">
            <w:pPr>
              <w:spacing w:before="120"/>
            </w:pPr>
          </w:p>
        </w:tc>
        <w:sdt>
          <w:sdtPr>
            <w:id w:val="-908543554"/>
            <w14:checkbox>
              <w14:checked w14:val="0"/>
              <w14:checkedState w14:val="2612" w14:font="MS Gothic"/>
              <w14:uncheckedState w14:val="2610" w14:font="MS Gothic"/>
            </w14:checkbox>
          </w:sdtPr>
          <w:sdtEndPr/>
          <w:sdtContent>
            <w:tc>
              <w:tcPr>
                <w:tcW w:w="567" w:type="dxa"/>
                <w:vAlign w:val="center"/>
              </w:tcPr>
              <w:p w:rsidR="006E7BA9" w:rsidRPr="00C40C24" w:rsidRDefault="006E7BA9" w:rsidP="006E7BA9">
                <w:pPr>
                  <w:spacing w:before="120"/>
                  <w:jc w:val="center"/>
                </w:pPr>
                <w:r>
                  <w:rPr>
                    <w:rFonts w:ascii="MS Gothic" w:eastAsia="MS Gothic" w:hAnsi="MS Gothic" w:hint="eastAsia"/>
                  </w:rPr>
                  <w:t>☐</w:t>
                </w:r>
              </w:p>
            </w:tc>
          </w:sdtContent>
        </w:sdt>
        <w:sdt>
          <w:sdtPr>
            <w:id w:val="395703081"/>
            <w14:checkbox>
              <w14:checked w14:val="0"/>
              <w14:checkedState w14:val="2612" w14:font="MS Gothic"/>
              <w14:uncheckedState w14:val="2610" w14:font="MS Gothic"/>
            </w14:checkbox>
          </w:sdtPr>
          <w:sdtEndPr/>
          <w:sdtContent>
            <w:tc>
              <w:tcPr>
                <w:tcW w:w="567" w:type="dxa"/>
                <w:vAlign w:val="center"/>
              </w:tcPr>
              <w:p w:rsidR="006E7BA9" w:rsidRPr="00C40C24" w:rsidRDefault="00860B52" w:rsidP="006E7BA9">
                <w:pPr>
                  <w:spacing w:before="120"/>
                  <w:jc w:val="center"/>
                </w:pPr>
                <w:r>
                  <w:rPr>
                    <w:rFonts w:ascii="MS Gothic" w:eastAsia="MS Gothic" w:hAnsi="MS Gothic" w:hint="eastAsia"/>
                  </w:rPr>
                  <w:t>☐</w:t>
                </w:r>
              </w:p>
            </w:tc>
          </w:sdtContent>
        </w:sdt>
        <w:sdt>
          <w:sdtPr>
            <w:id w:val="-893270258"/>
            <w14:checkbox>
              <w14:checked w14:val="0"/>
              <w14:checkedState w14:val="2612" w14:font="MS Gothic"/>
              <w14:uncheckedState w14:val="2610" w14:font="MS Gothic"/>
            </w14:checkbox>
          </w:sdtPr>
          <w:sdtEndPr/>
          <w:sdtContent>
            <w:tc>
              <w:tcPr>
                <w:tcW w:w="709" w:type="dxa"/>
                <w:vAlign w:val="center"/>
              </w:tcPr>
              <w:p w:rsidR="006E7BA9" w:rsidRPr="00C40C24" w:rsidRDefault="006E7BA9" w:rsidP="006E7BA9">
                <w:pPr>
                  <w:spacing w:before="120"/>
                  <w:jc w:val="center"/>
                </w:pPr>
                <w:r>
                  <w:rPr>
                    <w:rFonts w:ascii="MS Gothic" w:eastAsia="MS Gothic" w:hAnsi="MS Gothic" w:hint="eastAsia"/>
                  </w:rPr>
                  <w:t>☐</w:t>
                </w:r>
              </w:p>
            </w:tc>
          </w:sdtContent>
        </w:sdt>
        <w:tc>
          <w:tcPr>
            <w:tcW w:w="3827" w:type="dxa"/>
          </w:tcPr>
          <w:p w:rsidR="006E7BA9" w:rsidRPr="00C40C24" w:rsidRDefault="006E7BA9" w:rsidP="006E7BA9">
            <w:pPr>
              <w:spacing w:before="120"/>
            </w:pPr>
          </w:p>
        </w:tc>
      </w:tr>
    </w:tbl>
    <w:p w:rsidR="00B64CA2" w:rsidRDefault="00B64CA2" w:rsidP="002855C1">
      <w:pPr>
        <w:rPr>
          <w:b/>
        </w:rPr>
      </w:pPr>
    </w:p>
    <w:p w:rsidR="002855C1" w:rsidRPr="00FA51D1" w:rsidRDefault="002855C1" w:rsidP="002855C1">
      <w:pPr>
        <w:rPr>
          <w:b/>
        </w:rPr>
      </w:pPr>
      <w:r w:rsidRPr="00FA51D1">
        <w:rPr>
          <w:b/>
        </w:rPr>
        <w:t>Verwendete</w:t>
      </w:r>
      <w:r>
        <w:rPr>
          <w:b/>
        </w:rPr>
        <w:t xml:space="preserve"> Verordnungen, Merkblätter etc.</w:t>
      </w:r>
      <w:r w:rsidRPr="00FA51D1">
        <w:rPr>
          <w:b/>
        </w:rPr>
        <w:t>:</w:t>
      </w:r>
    </w:p>
    <w:p w:rsidR="002855C1" w:rsidRDefault="002855C1" w:rsidP="002855C1">
      <w:pPr>
        <w:pStyle w:val="Listenabsatz"/>
        <w:numPr>
          <w:ilvl w:val="0"/>
          <w:numId w:val="2"/>
        </w:numPr>
      </w:pPr>
      <w:r>
        <w:t>GenTG: Gentechnikgesetz</w:t>
      </w:r>
    </w:p>
    <w:p w:rsidR="002855C1" w:rsidRDefault="002855C1" w:rsidP="002855C1">
      <w:pPr>
        <w:pStyle w:val="Listenabsatz"/>
        <w:numPr>
          <w:ilvl w:val="0"/>
          <w:numId w:val="2"/>
        </w:numPr>
      </w:pPr>
      <w:r>
        <w:t>GenTSV: Gentechnik-Sicherheitsverordnung</w:t>
      </w:r>
    </w:p>
    <w:p w:rsidR="002855C1" w:rsidRDefault="002855C1" w:rsidP="002855C1">
      <w:pPr>
        <w:pStyle w:val="Listenabsatz"/>
        <w:numPr>
          <w:ilvl w:val="0"/>
          <w:numId w:val="2"/>
        </w:numPr>
      </w:pPr>
      <w:r>
        <w:t>DGUV-I 213-086 (B 002; alt BGI 629) „Laboratorien – Ausstattung und organisatorische Maßnahmen“</w:t>
      </w:r>
    </w:p>
    <w:p w:rsidR="002855C1" w:rsidRDefault="002855C1" w:rsidP="002855C1">
      <w:pPr>
        <w:pStyle w:val="Listenabsatz"/>
        <w:numPr>
          <w:ilvl w:val="0"/>
          <w:numId w:val="2"/>
        </w:numPr>
      </w:pPr>
      <w:r>
        <w:t>DGUV-I 213-087 (B 003; alt BGI 630) „Ausstattung und organisatorische Maßnahmen - Betrieb“</w:t>
      </w:r>
    </w:p>
    <w:p w:rsidR="00931778" w:rsidRDefault="002855C1" w:rsidP="007B4C21">
      <w:pPr>
        <w:pStyle w:val="Listenabsatz"/>
        <w:numPr>
          <w:ilvl w:val="0"/>
          <w:numId w:val="2"/>
        </w:numPr>
      </w:pPr>
      <w:r>
        <w:t>Broschüre „Gentechnische Anlagen – Technische Anforderungen“ des Landes Niedersachsen</w:t>
      </w:r>
    </w:p>
    <w:p w:rsidR="006E7BA9" w:rsidRDefault="006E7BA9" w:rsidP="007B4C21">
      <w:pPr>
        <w:pStyle w:val="Listenabsatz"/>
        <w:numPr>
          <w:ilvl w:val="0"/>
          <w:numId w:val="2"/>
        </w:numPr>
      </w:pPr>
      <w:r>
        <w:t>Betriebssicherheitsverordnung Version vom 18.10.2017</w:t>
      </w:r>
    </w:p>
    <w:sectPr w:rsidR="006E7BA9" w:rsidSect="00F34999">
      <w:headerReference w:type="default" r:id="rId7"/>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7B6" w:rsidRDefault="00E667B6" w:rsidP="00E667B6">
      <w:pPr>
        <w:spacing w:after="0" w:line="240" w:lineRule="auto"/>
      </w:pPr>
      <w:r>
        <w:separator/>
      </w:r>
    </w:p>
  </w:endnote>
  <w:endnote w:type="continuationSeparator" w:id="0">
    <w:p w:rsidR="00E667B6" w:rsidRDefault="00E667B6" w:rsidP="00E66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DejaVuSansCondense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7B6" w:rsidRDefault="00E667B6" w:rsidP="00E667B6">
      <w:pPr>
        <w:spacing w:after="0" w:line="240" w:lineRule="auto"/>
      </w:pPr>
      <w:r>
        <w:separator/>
      </w:r>
    </w:p>
  </w:footnote>
  <w:footnote w:type="continuationSeparator" w:id="0">
    <w:p w:rsidR="00E667B6" w:rsidRDefault="00E667B6" w:rsidP="00E66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4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951"/>
      <w:gridCol w:w="10206"/>
      <w:gridCol w:w="2268"/>
    </w:tblGrid>
    <w:tr w:rsidR="00E667B6" w:rsidTr="00F34999">
      <w:trPr>
        <w:trHeight w:hRule="exact" w:val="291"/>
      </w:trPr>
      <w:tc>
        <w:tcPr>
          <w:tcW w:w="1951" w:type="dxa"/>
          <w:vMerge w:val="restart"/>
          <w:tcBorders>
            <w:top w:val="single" w:sz="4" w:space="0" w:color="auto"/>
            <w:bottom w:val="single" w:sz="4" w:space="0" w:color="auto"/>
          </w:tcBorders>
        </w:tcPr>
        <w:p w:rsidR="00E667B6" w:rsidRPr="00E01423" w:rsidRDefault="00E667B6" w:rsidP="00387743">
          <w:pPr>
            <w:jc w:val="center"/>
          </w:pPr>
          <w:r>
            <w:rPr>
              <w:noProof/>
              <w:lang w:eastAsia="de-DE"/>
            </w:rPr>
            <w:drawing>
              <wp:anchor distT="0" distB="0" distL="114300" distR="114300" simplePos="0" relativeHeight="251659264" behindDoc="0" locked="0" layoutInCell="1" allowOverlap="1" wp14:anchorId="2E491A20" wp14:editId="457C08A1">
                <wp:simplePos x="0" y="0"/>
                <wp:positionH relativeFrom="column">
                  <wp:posOffset>22860</wp:posOffset>
                </wp:positionH>
                <wp:positionV relativeFrom="paragraph">
                  <wp:posOffset>118110</wp:posOffset>
                </wp:positionV>
                <wp:extent cx="800100" cy="666750"/>
                <wp:effectExtent l="0" t="0" r="0" b="0"/>
                <wp:wrapNone/>
                <wp:docPr id="7" name="Bild 1" descr="Uni-Logo-schö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schön"/>
                        <pic:cNvPicPr>
                          <a:picLocks noChangeAspect="1" noChangeArrowheads="1"/>
                        </pic:cNvPicPr>
                      </pic:nvPicPr>
                      <pic:blipFill>
                        <a:blip r:embed="rId1"/>
                        <a:srcRect/>
                        <a:stretch>
                          <a:fillRect/>
                        </a:stretch>
                      </pic:blipFill>
                      <pic:spPr bwMode="auto">
                        <a:xfrm>
                          <a:off x="0" y="0"/>
                          <a:ext cx="800100" cy="666750"/>
                        </a:xfrm>
                        <a:prstGeom prst="rect">
                          <a:avLst/>
                        </a:prstGeom>
                        <a:noFill/>
                      </pic:spPr>
                    </pic:pic>
                  </a:graphicData>
                </a:graphic>
              </wp:anchor>
            </w:drawing>
          </w:r>
        </w:p>
      </w:tc>
      <w:tc>
        <w:tcPr>
          <w:tcW w:w="10206" w:type="dxa"/>
          <w:tcBorders>
            <w:top w:val="single" w:sz="4" w:space="0" w:color="auto"/>
          </w:tcBorders>
          <w:vAlign w:val="center"/>
        </w:tcPr>
        <w:p w:rsidR="00E667B6" w:rsidRPr="00E727E2" w:rsidRDefault="00E667B6" w:rsidP="00387743">
          <w:pPr>
            <w:pStyle w:val="Vorgabetext"/>
            <w:widowControl/>
            <w:jc w:val="center"/>
            <w:rPr>
              <w:sz w:val="16"/>
              <w:szCs w:val="16"/>
            </w:rPr>
          </w:pPr>
          <w:r w:rsidRPr="00E727E2">
            <w:rPr>
              <w:rFonts w:ascii="Arial" w:hAnsi="Arial" w:cs="Arial"/>
              <w:sz w:val="16"/>
              <w:szCs w:val="16"/>
            </w:rPr>
            <w:t>GEORG-AUGUST-UNIVERSITÄT: Stabsstelle Sicherheitswesen/Umweltschutz</w:t>
          </w:r>
        </w:p>
      </w:tc>
      <w:tc>
        <w:tcPr>
          <w:tcW w:w="2268" w:type="dxa"/>
          <w:vMerge w:val="restart"/>
          <w:tcBorders>
            <w:top w:val="single" w:sz="4" w:space="0" w:color="auto"/>
            <w:bottom w:val="single" w:sz="4" w:space="0" w:color="auto"/>
          </w:tcBorders>
        </w:tcPr>
        <w:p w:rsidR="00E667B6" w:rsidRDefault="00E667B6" w:rsidP="00387743">
          <w:pPr>
            <w:pStyle w:val="Vorgabetext"/>
            <w:widowControl/>
            <w:jc w:val="center"/>
          </w:pPr>
          <w:r>
            <w:rPr>
              <w:noProof/>
            </w:rPr>
            <w:drawing>
              <wp:anchor distT="0" distB="0" distL="114300" distR="114300" simplePos="0" relativeHeight="251660288" behindDoc="0" locked="0" layoutInCell="1" allowOverlap="1" wp14:anchorId="4263DB82" wp14:editId="0BE8EDF6">
                <wp:simplePos x="0" y="0"/>
                <wp:positionH relativeFrom="column">
                  <wp:posOffset>14912</wp:posOffset>
                </wp:positionH>
                <wp:positionV relativeFrom="paragraph">
                  <wp:posOffset>117475</wp:posOffset>
                </wp:positionV>
                <wp:extent cx="962660" cy="299720"/>
                <wp:effectExtent l="0" t="0" r="8890" b="5080"/>
                <wp:wrapNone/>
                <wp:docPr id="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62660" cy="299720"/>
                        </a:xfrm>
                        <a:prstGeom prst="rect">
                          <a:avLst/>
                        </a:prstGeom>
                        <a:noFill/>
                      </pic:spPr>
                    </pic:pic>
                  </a:graphicData>
                </a:graphic>
              </wp:anchor>
            </w:drawing>
          </w:r>
        </w:p>
      </w:tc>
    </w:tr>
    <w:tr w:rsidR="00E667B6" w:rsidTr="00F34999">
      <w:trPr>
        <w:trHeight w:val="262"/>
      </w:trPr>
      <w:tc>
        <w:tcPr>
          <w:tcW w:w="1951" w:type="dxa"/>
          <w:vMerge/>
          <w:tcBorders>
            <w:top w:val="single" w:sz="4" w:space="0" w:color="auto"/>
            <w:bottom w:val="single" w:sz="4" w:space="0" w:color="auto"/>
          </w:tcBorders>
        </w:tcPr>
        <w:p w:rsidR="00E667B6" w:rsidRDefault="00E667B6" w:rsidP="00387743">
          <w:pPr>
            <w:pStyle w:val="Vorgabetext"/>
          </w:pPr>
        </w:p>
      </w:tc>
      <w:tc>
        <w:tcPr>
          <w:tcW w:w="10206" w:type="dxa"/>
        </w:tcPr>
        <w:p w:rsidR="00E667B6" w:rsidRPr="00295A55" w:rsidRDefault="00E667B6" w:rsidP="00387743">
          <w:pPr>
            <w:pStyle w:val="Vorgabetext"/>
            <w:widowControl/>
            <w:jc w:val="center"/>
            <w:rPr>
              <w:rFonts w:ascii="Arial" w:hAnsi="Arial" w:cs="Arial"/>
              <w:b/>
              <w:bCs/>
              <w:szCs w:val="24"/>
            </w:rPr>
          </w:pPr>
          <w:r w:rsidRPr="00295A55">
            <w:rPr>
              <w:rFonts w:ascii="Arial" w:hAnsi="Arial" w:cs="Arial"/>
              <w:b/>
              <w:bCs/>
              <w:szCs w:val="24"/>
            </w:rPr>
            <w:t>Informationen für Uni</w:t>
          </w:r>
          <w:r>
            <w:rPr>
              <w:rFonts w:ascii="Arial" w:hAnsi="Arial" w:cs="Arial"/>
              <w:b/>
              <w:bCs/>
              <w:szCs w:val="24"/>
            </w:rPr>
            <w:t>versität</w:t>
          </w:r>
          <w:r w:rsidRPr="00295A55">
            <w:rPr>
              <w:rFonts w:ascii="Arial" w:hAnsi="Arial" w:cs="Arial"/>
              <w:b/>
              <w:bCs/>
              <w:szCs w:val="24"/>
            </w:rPr>
            <w:t>/UMG</w:t>
          </w:r>
        </w:p>
      </w:tc>
      <w:tc>
        <w:tcPr>
          <w:tcW w:w="2268" w:type="dxa"/>
          <w:vMerge/>
          <w:tcBorders>
            <w:bottom w:val="single" w:sz="4" w:space="0" w:color="auto"/>
          </w:tcBorders>
        </w:tcPr>
        <w:p w:rsidR="00E667B6" w:rsidRDefault="00E667B6" w:rsidP="00387743">
          <w:pPr>
            <w:pStyle w:val="Vorgabetext"/>
            <w:widowControl/>
            <w:jc w:val="center"/>
            <w:rPr>
              <w:rFonts w:ascii="Arial" w:hAnsi="Arial" w:cs="Arial"/>
              <w:b/>
              <w:bCs/>
              <w:sz w:val="28"/>
            </w:rPr>
          </w:pPr>
        </w:p>
      </w:tc>
    </w:tr>
    <w:tr w:rsidR="00E667B6" w:rsidTr="00F34999">
      <w:trPr>
        <w:trHeight w:hRule="exact" w:val="302"/>
      </w:trPr>
      <w:tc>
        <w:tcPr>
          <w:tcW w:w="1951" w:type="dxa"/>
          <w:vMerge/>
          <w:tcBorders>
            <w:top w:val="single" w:sz="4" w:space="0" w:color="auto"/>
            <w:bottom w:val="single" w:sz="4" w:space="0" w:color="auto"/>
          </w:tcBorders>
        </w:tcPr>
        <w:p w:rsidR="00E667B6" w:rsidRDefault="00E667B6" w:rsidP="00387743">
          <w:pPr>
            <w:pStyle w:val="Vorgabetext"/>
          </w:pPr>
        </w:p>
      </w:tc>
      <w:tc>
        <w:tcPr>
          <w:tcW w:w="10206" w:type="dxa"/>
        </w:tcPr>
        <w:p w:rsidR="00E667B6" w:rsidRPr="00295A55" w:rsidRDefault="00E667B6" w:rsidP="00387743">
          <w:pPr>
            <w:pStyle w:val="Vorgabetext"/>
            <w:widowControl/>
            <w:jc w:val="center"/>
            <w:rPr>
              <w:rFonts w:ascii="Arial" w:hAnsi="Arial" w:cs="Arial"/>
              <w:b/>
              <w:bCs/>
              <w:color w:val="000000"/>
              <w:szCs w:val="24"/>
            </w:rPr>
          </w:pPr>
          <w:r w:rsidRPr="0057123C">
            <w:rPr>
              <w:rFonts w:ascii="Arial" w:hAnsi="Arial" w:cs="Arial"/>
              <w:b/>
              <w:bCs/>
              <w:color w:val="000000" w:themeColor="text1"/>
              <w:szCs w:val="24"/>
            </w:rPr>
            <w:t>Checkliste</w:t>
          </w:r>
        </w:p>
      </w:tc>
      <w:tc>
        <w:tcPr>
          <w:tcW w:w="2268" w:type="dxa"/>
          <w:vMerge/>
          <w:tcBorders>
            <w:bottom w:val="single" w:sz="4" w:space="0" w:color="auto"/>
          </w:tcBorders>
        </w:tcPr>
        <w:p w:rsidR="00E667B6" w:rsidRDefault="00E667B6" w:rsidP="00387743">
          <w:pPr>
            <w:pStyle w:val="Vorgabetext"/>
            <w:widowControl/>
            <w:rPr>
              <w:rFonts w:ascii="Arial" w:hAnsi="Arial" w:cs="Arial"/>
              <w:b/>
              <w:bCs/>
              <w:color w:val="000000"/>
            </w:rPr>
          </w:pPr>
        </w:p>
      </w:tc>
    </w:tr>
    <w:tr w:rsidR="00E667B6" w:rsidTr="00F34999">
      <w:trPr>
        <w:trHeight w:hRule="exact" w:val="399"/>
      </w:trPr>
      <w:tc>
        <w:tcPr>
          <w:tcW w:w="1951" w:type="dxa"/>
          <w:vMerge/>
          <w:tcBorders>
            <w:top w:val="single" w:sz="4" w:space="0" w:color="auto"/>
            <w:bottom w:val="single" w:sz="4" w:space="0" w:color="auto"/>
          </w:tcBorders>
        </w:tcPr>
        <w:p w:rsidR="00E667B6" w:rsidRDefault="00E667B6" w:rsidP="00387743">
          <w:pPr>
            <w:pStyle w:val="Vorgabetext"/>
            <w:widowControl/>
            <w:rPr>
              <w:rFonts w:ascii="Arial" w:hAnsi="Arial" w:cs="Arial"/>
              <w:b/>
              <w:bCs/>
              <w:color w:val="0000FF"/>
            </w:rPr>
          </w:pPr>
        </w:p>
      </w:tc>
      <w:tc>
        <w:tcPr>
          <w:tcW w:w="10206" w:type="dxa"/>
          <w:tcBorders>
            <w:bottom w:val="single" w:sz="4" w:space="0" w:color="auto"/>
          </w:tcBorders>
        </w:tcPr>
        <w:p w:rsidR="00E667B6" w:rsidRPr="00D317F8" w:rsidRDefault="00E667B6" w:rsidP="00387743">
          <w:pPr>
            <w:pStyle w:val="Vorgabetext"/>
            <w:widowControl/>
            <w:jc w:val="center"/>
            <w:rPr>
              <w:rFonts w:ascii="Arial" w:hAnsi="Arial" w:cs="Arial"/>
              <w:b/>
              <w:bCs/>
              <w:color w:val="FF0000"/>
              <w:szCs w:val="24"/>
            </w:rPr>
          </w:pPr>
          <w:r>
            <w:rPr>
              <w:rFonts w:ascii="Arial" w:hAnsi="Arial" w:cs="Arial"/>
              <w:b/>
              <w:bCs/>
              <w:color w:val="0000FF"/>
              <w:szCs w:val="24"/>
            </w:rPr>
            <w:t xml:space="preserve">Anforderungen an </w:t>
          </w:r>
          <w:r w:rsidRPr="00E667B6">
            <w:rPr>
              <w:rFonts w:ascii="Arial" w:hAnsi="Arial" w:cs="Arial"/>
              <w:b/>
              <w:bCs/>
              <w:color w:val="FF0000"/>
              <w:szCs w:val="24"/>
            </w:rPr>
            <w:t>Fermenter</w:t>
          </w:r>
          <w:r>
            <w:rPr>
              <w:rFonts w:ascii="Arial" w:hAnsi="Arial" w:cs="Arial"/>
              <w:b/>
              <w:bCs/>
              <w:color w:val="0000FF"/>
              <w:szCs w:val="24"/>
            </w:rPr>
            <w:t xml:space="preserve"> in einer gentechnischen </w:t>
          </w:r>
          <w:r w:rsidRPr="00D317F8">
            <w:rPr>
              <w:rFonts w:ascii="Arial" w:hAnsi="Arial" w:cs="Arial"/>
              <w:b/>
              <w:bCs/>
              <w:color w:val="FF0000"/>
              <w:szCs w:val="24"/>
            </w:rPr>
            <w:t xml:space="preserve">S1 </w:t>
          </w:r>
          <w:r>
            <w:rPr>
              <w:rFonts w:ascii="Arial" w:hAnsi="Arial" w:cs="Arial"/>
              <w:b/>
              <w:bCs/>
              <w:color w:val="FF0000"/>
              <w:szCs w:val="24"/>
            </w:rPr>
            <w:t>Anlage</w:t>
          </w:r>
        </w:p>
        <w:p w:rsidR="00E667B6" w:rsidRPr="00295A55" w:rsidRDefault="00E667B6" w:rsidP="00387743">
          <w:pPr>
            <w:pStyle w:val="Vorgabetext"/>
            <w:widowControl/>
            <w:jc w:val="center"/>
            <w:rPr>
              <w:rFonts w:ascii="Arial" w:hAnsi="Arial" w:cs="Arial"/>
              <w:b/>
              <w:bCs/>
              <w:color w:val="0000FF"/>
              <w:szCs w:val="24"/>
            </w:rPr>
          </w:pPr>
        </w:p>
      </w:tc>
      <w:tc>
        <w:tcPr>
          <w:tcW w:w="2268" w:type="dxa"/>
          <w:vMerge/>
          <w:tcBorders>
            <w:bottom w:val="single" w:sz="4" w:space="0" w:color="auto"/>
          </w:tcBorders>
        </w:tcPr>
        <w:p w:rsidR="00E667B6" w:rsidRDefault="00E667B6" w:rsidP="00387743">
          <w:pPr>
            <w:pStyle w:val="Vorgabetext"/>
            <w:widowControl/>
            <w:rPr>
              <w:rFonts w:ascii="Arial" w:hAnsi="Arial" w:cs="Arial"/>
              <w:b/>
              <w:bCs/>
              <w:color w:val="0000FF"/>
            </w:rPr>
          </w:pPr>
        </w:p>
      </w:tc>
    </w:tr>
  </w:tbl>
  <w:p w:rsidR="00E667B6" w:rsidRDefault="00E667B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56F23"/>
    <w:multiLevelType w:val="hybridMultilevel"/>
    <w:tmpl w:val="0D7A81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28D767B"/>
    <w:multiLevelType w:val="hybridMultilevel"/>
    <w:tmpl w:val="34285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21"/>
    <w:rsid w:val="0001635A"/>
    <w:rsid w:val="00032086"/>
    <w:rsid w:val="00164CC0"/>
    <w:rsid w:val="001D7FCA"/>
    <w:rsid w:val="001F57C2"/>
    <w:rsid w:val="002855C1"/>
    <w:rsid w:val="00370E82"/>
    <w:rsid w:val="004E7191"/>
    <w:rsid w:val="00517391"/>
    <w:rsid w:val="005870A5"/>
    <w:rsid w:val="00622E13"/>
    <w:rsid w:val="006E7BA9"/>
    <w:rsid w:val="00700528"/>
    <w:rsid w:val="0077534B"/>
    <w:rsid w:val="007A0B57"/>
    <w:rsid w:val="007B4C21"/>
    <w:rsid w:val="007C10EE"/>
    <w:rsid w:val="008074A1"/>
    <w:rsid w:val="00826341"/>
    <w:rsid w:val="00860B52"/>
    <w:rsid w:val="00931778"/>
    <w:rsid w:val="00AA49BA"/>
    <w:rsid w:val="00AE4D3E"/>
    <w:rsid w:val="00AE78F3"/>
    <w:rsid w:val="00B64CA2"/>
    <w:rsid w:val="00C40C24"/>
    <w:rsid w:val="00D72E66"/>
    <w:rsid w:val="00E667B6"/>
    <w:rsid w:val="00EB174B"/>
    <w:rsid w:val="00F34999"/>
    <w:rsid w:val="00F729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2687"/>
  <w15:docId w15:val="{4540D297-BC8F-42EB-8B8F-B4D3A55A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B4C21"/>
    <w:pPr>
      <w:ind w:left="720"/>
      <w:contextualSpacing/>
    </w:pPr>
  </w:style>
  <w:style w:type="table" w:styleId="Tabellenraster">
    <w:name w:val="Table Grid"/>
    <w:basedOn w:val="NormaleTabelle"/>
    <w:uiPriority w:val="59"/>
    <w:rsid w:val="00931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67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667B6"/>
  </w:style>
  <w:style w:type="paragraph" w:styleId="Fuzeile">
    <w:name w:val="footer"/>
    <w:basedOn w:val="Standard"/>
    <w:link w:val="FuzeileZchn"/>
    <w:uiPriority w:val="99"/>
    <w:unhideWhenUsed/>
    <w:rsid w:val="00E667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667B6"/>
  </w:style>
  <w:style w:type="paragraph" w:customStyle="1" w:styleId="Vorgabetext">
    <w:name w:val="Vorgabetext"/>
    <w:basedOn w:val="Standard"/>
    <w:rsid w:val="00E667B6"/>
    <w:pPr>
      <w:widowControl w:val="0"/>
      <w:snapToGrid w:val="0"/>
      <w:spacing w:after="0" w:line="240" w:lineRule="auto"/>
    </w:pPr>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F349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49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2987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Universität Göttingen</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Voget, Sonja (ZVW)</dc:creator>
  <cp:lastModifiedBy>Voget, Sonja (ZVW)</cp:lastModifiedBy>
  <cp:revision>4</cp:revision>
  <cp:lastPrinted>2018-08-22T12:40:00Z</cp:lastPrinted>
  <dcterms:created xsi:type="dcterms:W3CDTF">2018-08-22T14:11:00Z</dcterms:created>
  <dcterms:modified xsi:type="dcterms:W3CDTF">2018-09-27T13:35:00Z</dcterms:modified>
</cp:coreProperties>
</file>