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F933" w14:textId="44A16785" w:rsidR="004274BE" w:rsidRDefault="00F341B0" w:rsidP="00F341B0">
      <w:pPr>
        <w:ind w:left="-567" w:right="-740"/>
        <w:jc w:val="both"/>
      </w:pPr>
      <w:r w:rsidRPr="00DC22D5">
        <w:rPr>
          <w:b/>
          <w:bCs/>
        </w:rPr>
        <w:t xml:space="preserve">Nach </w:t>
      </w:r>
      <w:r w:rsidRPr="00DC22D5">
        <w:rPr>
          <w:b/>
          <w:bCs/>
        </w:rPr>
        <w:t xml:space="preserve">GenTSV </w:t>
      </w:r>
      <w:r w:rsidRPr="00DC22D5">
        <w:rPr>
          <w:b/>
          <w:bCs/>
        </w:rPr>
        <w:t>§ 15 Absatz 1 Satz 2 sind die Sicherheitsmaßnahmen für Gewächshäuser entsprechend für Klimakammern</w:t>
      </w:r>
      <w:r w:rsidRPr="00DC22D5">
        <w:rPr>
          <w:b/>
          <w:bCs/>
        </w:rPr>
        <w:t xml:space="preserve"> </w:t>
      </w:r>
      <w:r w:rsidRPr="00DC22D5">
        <w:rPr>
          <w:b/>
          <w:bCs/>
        </w:rPr>
        <w:t>zu beachten</w:t>
      </w:r>
      <w:r>
        <w:t xml:space="preserve">. Nach § 15 Absatz 2 sind, sofern in Gewächshäusern mit gentechnisch veränderten </w:t>
      </w:r>
      <w:r w:rsidRPr="00DC22D5">
        <w:rPr>
          <w:b/>
          <w:bCs/>
        </w:rPr>
        <w:t>Mikro</w:t>
      </w:r>
      <w:r>
        <w:t>organismen</w:t>
      </w:r>
      <w:r>
        <w:t xml:space="preserve"> </w:t>
      </w:r>
      <w:r>
        <w:t>gearbeitet wird</w:t>
      </w:r>
      <w:r w:rsidRPr="00F341B0">
        <w:rPr>
          <w:u w:val="single"/>
        </w:rPr>
        <w:t>,</w:t>
      </w:r>
      <w:r w:rsidRPr="00F341B0">
        <w:t xml:space="preserve"> </w:t>
      </w:r>
      <w:r w:rsidRPr="00F341B0">
        <w:rPr>
          <w:u w:val="single"/>
        </w:rPr>
        <w:t>zusätzlich</w:t>
      </w:r>
      <w:r>
        <w:t xml:space="preserve"> zu den Anforderungen dieser Anlage </w:t>
      </w:r>
      <w:proofErr w:type="gramStart"/>
      <w:r>
        <w:t>entsprechend die Anforderungen</w:t>
      </w:r>
      <w:proofErr w:type="gramEnd"/>
      <w:r>
        <w:t xml:space="preserve"> der Anlage 2 für</w:t>
      </w:r>
      <w:r>
        <w:t xml:space="preserve"> </w:t>
      </w:r>
      <w:r>
        <w:t>den Laborbereich für die entsprechenden Sicherheitsstufen zu beachten</w:t>
      </w:r>
      <w:r>
        <w:t xml:space="preserve"> (siehe Checkliste für S1 Labore)</w:t>
      </w:r>
      <w:r>
        <w:t>.</w:t>
      </w:r>
      <w:r>
        <w:t xml:space="preserve"> </w:t>
      </w:r>
      <w:r w:rsidR="004274BE">
        <w:t>Aufgaben des Betreibers, der Projektleitung, des Beauftragten für Biologische Sicherheit (BBS) sowie Vorgaben zur Anzeige, Anmelde und Mitteilungspflichten werden nicht behandelt.</w:t>
      </w:r>
    </w:p>
    <w:tbl>
      <w:tblPr>
        <w:tblStyle w:val="Tabellenraster"/>
        <w:tblW w:w="15338" w:type="dxa"/>
        <w:tblInd w:w="-459" w:type="dxa"/>
        <w:tblLayout w:type="fixed"/>
        <w:tblLook w:val="04A0" w:firstRow="1" w:lastRow="0" w:firstColumn="1" w:lastColumn="0" w:noHBand="0" w:noVBand="1"/>
      </w:tblPr>
      <w:tblGrid>
        <w:gridCol w:w="2155"/>
        <w:gridCol w:w="6804"/>
        <w:gridCol w:w="426"/>
        <w:gridCol w:w="425"/>
        <w:gridCol w:w="567"/>
        <w:gridCol w:w="2693"/>
        <w:gridCol w:w="2268"/>
      </w:tblGrid>
      <w:tr w:rsidR="00122DED" w:rsidRPr="006E3AAA" w14:paraId="7427AD80" w14:textId="77777777" w:rsidTr="002C3E00">
        <w:trPr>
          <w:trHeight w:val="383"/>
          <w:tblHeader/>
        </w:trPr>
        <w:tc>
          <w:tcPr>
            <w:tcW w:w="21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29F7DE" w14:textId="77777777" w:rsidR="00122DED" w:rsidRPr="006E3AAA" w:rsidRDefault="00122DED" w:rsidP="00AA6726">
            <w:pPr>
              <w:jc w:val="center"/>
              <w:rPr>
                <w:b/>
              </w:rPr>
            </w:pPr>
            <w:r>
              <w:rPr>
                <w:b/>
              </w:rPr>
              <w:t>Thema</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16A710" w14:textId="77777777" w:rsidR="00122DED" w:rsidRDefault="00122DED" w:rsidP="008B3C83">
            <w:pPr>
              <w:pStyle w:val="Kopfzeile"/>
              <w:tabs>
                <w:tab w:val="clear" w:pos="9072"/>
              </w:tabs>
              <w:jc w:val="center"/>
              <w:rPr>
                <w:rFonts w:ascii="Arial" w:hAnsi="Arial" w:cs="Arial"/>
                <w:b/>
                <w:color w:val="000000"/>
                <w:sz w:val="20"/>
              </w:rPr>
            </w:pPr>
            <w:r>
              <w:rPr>
                <w:rFonts w:ascii="Arial" w:hAnsi="Arial" w:cs="Arial"/>
                <w:b/>
                <w:color w:val="000000"/>
                <w:sz w:val="20"/>
              </w:rPr>
              <w:t>Grundlegende Anforderungen</w:t>
            </w:r>
          </w:p>
          <w:p w14:paraId="4113D91E" w14:textId="77777777" w:rsidR="00122DED" w:rsidRPr="00AA6726" w:rsidRDefault="00122DED" w:rsidP="008B3C83">
            <w:pPr>
              <w:jc w:val="center"/>
              <w:rPr>
                <w:b/>
                <w:sz w:val="16"/>
                <w:szCs w:val="16"/>
              </w:rPr>
            </w:pPr>
            <w:r w:rsidRPr="00AA6726">
              <w:rPr>
                <w:rFonts w:ascii="Arial" w:hAnsi="Arial" w:cs="Arial"/>
                <w:color w:val="000000"/>
                <w:sz w:val="16"/>
                <w:szCs w:val="16"/>
              </w:rPr>
              <w:t>Hinweis: Hierbei handelt es sich um Mindestanforderungen. Bei Beantwortung mit „nein“ besteht Handlungsbedarf.</w:t>
            </w:r>
          </w:p>
        </w:tc>
        <w:tc>
          <w:tcPr>
            <w:tcW w:w="1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7D389A" w14:textId="77777777" w:rsidR="00122DED" w:rsidRPr="00F72971" w:rsidRDefault="00122DED" w:rsidP="00AA6726">
            <w:pPr>
              <w:contextualSpacing/>
              <w:jc w:val="center"/>
              <w:rPr>
                <w:b/>
                <w:sz w:val="20"/>
                <w:szCs w:val="20"/>
              </w:rPr>
            </w:pPr>
            <w:r>
              <w:rPr>
                <w:b/>
                <w:sz w:val="20"/>
                <w:szCs w:val="20"/>
              </w:rPr>
              <w:t>Erfüllt?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14A95" w14:textId="77777777" w:rsidR="00122DED" w:rsidRDefault="00122DED" w:rsidP="00A71746">
            <w:pPr>
              <w:jc w:val="center"/>
              <w:rPr>
                <w:b/>
              </w:rPr>
            </w:pPr>
            <w:r>
              <w:rPr>
                <w:b/>
              </w:rPr>
              <w:t>Mängel, Maßnahmen, Bemerkungen</w:t>
            </w:r>
          </w:p>
        </w:tc>
        <w:tc>
          <w:tcPr>
            <w:tcW w:w="226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2C6F96A" w14:textId="77777777" w:rsidR="00122DED" w:rsidRDefault="00122DED" w:rsidP="00A71746">
            <w:pPr>
              <w:jc w:val="center"/>
              <w:rPr>
                <w:b/>
              </w:rPr>
            </w:pPr>
            <w:r>
              <w:rPr>
                <w:b/>
              </w:rPr>
              <w:t>Erledigt?</w:t>
            </w:r>
          </w:p>
          <w:p w14:paraId="065B35B2" w14:textId="77777777" w:rsidR="00122DED" w:rsidRPr="00A71746" w:rsidRDefault="00122DED" w:rsidP="006E2509">
            <w:pPr>
              <w:jc w:val="center"/>
              <w:rPr>
                <w:sz w:val="20"/>
                <w:szCs w:val="20"/>
              </w:rPr>
            </w:pPr>
            <w:r w:rsidRPr="00A71746">
              <w:rPr>
                <w:sz w:val="20"/>
                <w:szCs w:val="20"/>
              </w:rPr>
              <w:t>(</w:t>
            </w:r>
            <w:r>
              <w:rPr>
                <w:sz w:val="20"/>
                <w:szCs w:val="20"/>
              </w:rPr>
              <w:t>Name, Datum</w:t>
            </w:r>
          </w:p>
        </w:tc>
      </w:tr>
      <w:tr w:rsidR="00122DED" w:rsidRPr="006E3AAA" w14:paraId="7B665902" w14:textId="77777777" w:rsidTr="002C3E00">
        <w:trPr>
          <w:trHeight w:val="1125"/>
          <w:tblHeader/>
        </w:trPr>
        <w:tc>
          <w:tcPr>
            <w:tcW w:w="215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37FE6A" w14:textId="77777777" w:rsidR="00122DED" w:rsidRPr="006E3AAA" w:rsidRDefault="00122DED" w:rsidP="00AA6726">
            <w:pPr>
              <w:jc w:val="center"/>
              <w:rPr>
                <w:b/>
              </w:rPr>
            </w:pPr>
          </w:p>
        </w:tc>
        <w:tc>
          <w:tcPr>
            <w:tcW w:w="6804" w:type="dxa"/>
            <w:vMerge/>
            <w:tcBorders>
              <w:top w:val="single" w:sz="4" w:space="0" w:color="auto"/>
              <w:left w:val="single" w:sz="4" w:space="0" w:color="auto"/>
            </w:tcBorders>
            <w:shd w:val="clear" w:color="auto" w:fill="BFBFBF" w:themeFill="background1" w:themeFillShade="BF"/>
            <w:vAlign w:val="center"/>
          </w:tcPr>
          <w:p w14:paraId="4C27E62C" w14:textId="77777777" w:rsidR="00122DED" w:rsidRPr="006E3AAA" w:rsidRDefault="00122DED" w:rsidP="008B3C83">
            <w:pPr>
              <w:jc w:val="both"/>
              <w:rPr>
                <w:b/>
              </w:rPr>
            </w:pPr>
          </w:p>
        </w:tc>
        <w:tc>
          <w:tcPr>
            <w:tcW w:w="426" w:type="dxa"/>
            <w:tcBorders>
              <w:top w:val="single" w:sz="4" w:space="0" w:color="auto"/>
            </w:tcBorders>
            <w:shd w:val="clear" w:color="auto" w:fill="BFBFBF" w:themeFill="background1" w:themeFillShade="BF"/>
            <w:textDirection w:val="btLr"/>
            <w:vAlign w:val="center"/>
          </w:tcPr>
          <w:p w14:paraId="31B612A2" w14:textId="77777777" w:rsidR="00122DED" w:rsidRPr="00F72971" w:rsidRDefault="00122DED" w:rsidP="00AA6726">
            <w:pPr>
              <w:ind w:left="113" w:right="113"/>
              <w:contextualSpacing/>
              <w:jc w:val="center"/>
              <w:rPr>
                <w:b/>
                <w:sz w:val="20"/>
                <w:szCs w:val="20"/>
              </w:rPr>
            </w:pPr>
            <w:r w:rsidRPr="00F72971">
              <w:rPr>
                <w:b/>
                <w:sz w:val="20"/>
                <w:szCs w:val="20"/>
              </w:rPr>
              <w:t>ja</w:t>
            </w:r>
          </w:p>
        </w:tc>
        <w:tc>
          <w:tcPr>
            <w:tcW w:w="425" w:type="dxa"/>
            <w:tcBorders>
              <w:top w:val="single" w:sz="4" w:space="0" w:color="auto"/>
            </w:tcBorders>
            <w:shd w:val="clear" w:color="auto" w:fill="BFBFBF" w:themeFill="background1" w:themeFillShade="BF"/>
            <w:textDirection w:val="btLr"/>
            <w:vAlign w:val="center"/>
          </w:tcPr>
          <w:p w14:paraId="30F592DD" w14:textId="77777777" w:rsidR="00122DED" w:rsidRPr="00F72971" w:rsidRDefault="00122DED" w:rsidP="00AA6726">
            <w:pPr>
              <w:ind w:left="113" w:right="113"/>
              <w:contextualSpacing/>
              <w:jc w:val="center"/>
              <w:rPr>
                <w:b/>
                <w:sz w:val="20"/>
                <w:szCs w:val="20"/>
              </w:rPr>
            </w:pPr>
            <w:r w:rsidRPr="00F72971">
              <w:rPr>
                <w:b/>
                <w:sz w:val="20"/>
                <w:szCs w:val="20"/>
              </w:rPr>
              <w:t>nein</w:t>
            </w:r>
          </w:p>
        </w:tc>
        <w:tc>
          <w:tcPr>
            <w:tcW w:w="567" w:type="dxa"/>
            <w:tcBorders>
              <w:top w:val="single" w:sz="4" w:space="0" w:color="auto"/>
            </w:tcBorders>
            <w:shd w:val="clear" w:color="auto" w:fill="BFBFBF" w:themeFill="background1" w:themeFillShade="BF"/>
            <w:textDirection w:val="btLr"/>
            <w:vAlign w:val="center"/>
          </w:tcPr>
          <w:p w14:paraId="58100319" w14:textId="77777777" w:rsidR="00122DED" w:rsidRPr="00F72971" w:rsidRDefault="00122DED" w:rsidP="00AA6726">
            <w:pPr>
              <w:ind w:left="113" w:right="113"/>
              <w:contextualSpacing/>
              <w:jc w:val="center"/>
              <w:rPr>
                <w:b/>
                <w:sz w:val="20"/>
                <w:szCs w:val="20"/>
              </w:rPr>
            </w:pPr>
            <w:proofErr w:type="gramStart"/>
            <w:r w:rsidRPr="00F72971">
              <w:rPr>
                <w:b/>
                <w:sz w:val="20"/>
                <w:szCs w:val="20"/>
              </w:rPr>
              <w:t>Nicht zutreffend</w:t>
            </w:r>
            <w:proofErr w:type="gramEnd"/>
          </w:p>
        </w:tc>
        <w:tc>
          <w:tcPr>
            <w:tcW w:w="2693" w:type="dxa"/>
            <w:vMerge/>
            <w:tcBorders>
              <w:top w:val="single" w:sz="4" w:space="0" w:color="auto"/>
              <w:right w:val="single" w:sz="4" w:space="0" w:color="auto"/>
            </w:tcBorders>
            <w:shd w:val="clear" w:color="auto" w:fill="BFBFBF" w:themeFill="background1" w:themeFillShade="BF"/>
            <w:vAlign w:val="center"/>
          </w:tcPr>
          <w:p w14:paraId="7953B59D" w14:textId="77777777" w:rsidR="00122DED" w:rsidRPr="00945B29" w:rsidRDefault="00122DED" w:rsidP="00AA6726">
            <w:pPr>
              <w:rPr>
                <w:b/>
              </w:rPr>
            </w:pPr>
          </w:p>
        </w:tc>
        <w:tc>
          <w:tcPr>
            <w:tcW w:w="2268" w:type="dxa"/>
            <w:vMerge/>
            <w:tcBorders>
              <w:left w:val="single" w:sz="4" w:space="0" w:color="auto"/>
              <w:right w:val="single" w:sz="4" w:space="0" w:color="auto"/>
            </w:tcBorders>
            <w:shd w:val="clear" w:color="auto" w:fill="BFBFBF" w:themeFill="background1" w:themeFillShade="BF"/>
          </w:tcPr>
          <w:p w14:paraId="1B6B3894" w14:textId="77777777" w:rsidR="00122DED" w:rsidRPr="00945B29" w:rsidRDefault="00122DED" w:rsidP="00AA6726">
            <w:pPr>
              <w:rPr>
                <w:b/>
              </w:rPr>
            </w:pPr>
          </w:p>
        </w:tc>
      </w:tr>
      <w:tr w:rsidR="00122DED" w:rsidRPr="00F13B67" w14:paraId="413BA658" w14:textId="77777777" w:rsidTr="002C3E00">
        <w:tc>
          <w:tcPr>
            <w:tcW w:w="15338" w:type="dxa"/>
            <w:gridSpan w:val="7"/>
            <w:shd w:val="clear" w:color="auto" w:fill="D9D9D9" w:themeFill="background1" w:themeFillShade="D9"/>
            <w:vAlign w:val="center"/>
          </w:tcPr>
          <w:p w14:paraId="20719A5D" w14:textId="77777777" w:rsidR="00122DED" w:rsidRPr="006925C1" w:rsidRDefault="00122DED" w:rsidP="006925C1">
            <w:pPr>
              <w:ind w:left="360"/>
              <w:rPr>
                <w:b/>
              </w:rPr>
            </w:pPr>
            <w:r w:rsidRPr="006925C1">
              <w:rPr>
                <w:b/>
              </w:rPr>
              <w:t>Allgemein</w:t>
            </w:r>
          </w:p>
        </w:tc>
      </w:tr>
      <w:tr w:rsidR="002310AB" w:rsidRPr="00F13B67" w14:paraId="02352F02" w14:textId="77777777" w:rsidTr="002C3E00">
        <w:trPr>
          <w:trHeight w:val="1159"/>
        </w:trPr>
        <w:tc>
          <w:tcPr>
            <w:tcW w:w="15338" w:type="dxa"/>
            <w:gridSpan w:val="7"/>
            <w:shd w:val="clear" w:color="auto" w:fill="auto"/>
            <w:vAlign w:val="center"/>
          </w:tcPr>
          <w:p w14:paraId="6D82848C" w14:textId="77777777" w:rsidR="007C7FA9" w:rsidRDefault="002310AB" w:rsidP="007C7FA9">
            <w:pPr>
              <w:pStyle w:val="Listenabsatz"/>
              <w:numPr>
                <w:ilvl w:val="0"/>
                <w:numId w:val="36"/>
              </w:numPr>
              <w:ind w:left="345"/>
            </w:pPr>
            <w:r>
              <w:t>Bitte denken Sie daran, dass eventuell weitere Gesetze/ Verordnungen betroffen sind und sich daraus Pflichten ergeben. Beispiele:</w:t>
            </w:r>
          </w:p>
          <w:p w14:paraId="4323EC24" w14:textId="77777777" w:rsidR="007C7FA9" w:rsidRDefault="002310AB" w:rsidP="007C7FA9">
            <w:pPr>
              <w:pStyle w:val="Listenabsatz"/>
              <w:numPr>
                <w:ilvl w:val="1"/>
                <w:numId w:val="36"/>
              </w:numPr>
              <w:ind w:left="629"/>
            </w:pPr>
            <w:r>
              <w:t xml:space="preserve">Biostoffverordnung: </w:t>
            </w:r>
            <w:r w:rsidR="007C7FA9">
              <w:t>Erstellung einer Gefährdungsbeurteilung ab S1</w:t>
            </w:r>
          </w:p>
          <w:p w14:paraId="5426EF87" w14:textId="77777777" w:rsidR="002310AB" w:rsidRDefault="002310AB" w:rsidP="007C7FA9">
            <w:pPr>
              <w:pStyle w:val="Listenabsatz"/>
              <w:numPr>
                <w:ilvl w:val="1"/>
                <w:numId w:val="36"/>
              </w:numPr>
              <w:ind w:left="629"/>
            </w:pPr>
            <w:r>
              <w:t>Tierseuchenerregerverordnung: Erlaubnis und</w:t>
            </w:r>
            <w:r w:rsidR="007C7FA9">
              <w:t>/oder</w:t>
            </w:r>
            <w:r>
              <w:t xml:space="preserve"> Anzeige bei Arbeiten mit</w:t>
            </w:r>
            <w:r w:rsidR="007C7FA9">
              <w:t xml:space="preserve"> entsprechenden</w:t>
            </w:r>
            <w:r>
              <w:t xml:space="preserve"> Erregern</w:t>
            </w:r>
          </w:p>
          <w:p w14:paraId="74BFEEB3" w14:textId="77777777" w:rsidR="00E90A29" w:rsidRPr="00C16D92" w:rsidRDefault="007C7FA9" w:rsidP="00876701">
            <w:pPr>
              <w:pStyle w:val="Listenabsatz"/>
              <w:numPr>
                <w:ilvl w:val="1"/>
                <w:numId w:val="36"/>
              </w:numPr>
              <w:ind w:left="629"/>
            </w:pPr>
            <w:proofErr w:type="gramStart"/>
            <w:r>
              <w:rPr>
                <w:rFonts w:ascii="Calibri" w:hAnsi="Calibri" w:cs="Calibri"/>
              </w:rPr>
              <w:t>EU Verordnung</w:t>
            </w:r>
            <w:proofErr w:type="gramEnd"/>
            <w:r>
              <w:rPr>
                <w:rFonts w:ascii="Calibri" w:hAnsi="Calibri" w:cs="Calibri"/>
              </w:rPr>
              <w:t xml:space="preserve"> 2016/2031 über Maßnahmen zum Schutz von Pflanzenschädlingen: Erlaubnispflicht und geschlossene Anlagen</w:t>
            </w:r>
          </w:p>
        </w:tc>
      </w:tr>
      <w:tr w:rsidR="00122DED" w:rsidRPr="00F13B67" w14:paraId="6E7EB556" w14:textId="77777777" w:rsidTr="002C3E00">
        <w:tc>
          <w:tcPr>
            <w:tcW w:w="15338" w:type="dxa"/>
            <w:gridSpan w:val="7"/>
            <w:shd w:val="clear" w:color="auto" w:fill="D9D9D9" w:themeFill="background1" w:themeFillShade="D9"/>
            <w:vAlign w:val="center"/>
          </w:tcPr>
          <w:p w14:paraId="4D591B72" w14:textId="77777777" w:rsidR="00122DED" w:rsidRPr="006925C1" w:rsidRDefault="00122DED" w:rsidP="006925C1">
            <w:pPr>
              <w:ind w:left="360"/>
              <w:rPr>
                <w:b/>
              </w:rPr>
            </w:pPr>
            <w:r w:rsidRPr="006925C1">
              <w:rPr>
                <w:b/>
              </w:rPr>
              <w:t>Kennzeichnung/Zutritt</w:t>
            </w:r>
          </w:p>
        </w:tc>
      </w:tr>
      <w:tr w:rsidR="00122DED" w14:paraId="06A75111" w14:textId="77777777" w:rsidTr="002C3E00">
        <w:tc>
          <w:tcPr>
            <w:tcW w:w="2155" w:type="dxa"/>
            <w:vAlign w:val="center"/>
          </w:tcPr>
          <w:p w14:paraId="0DFF9BAE" w14:textId="77777777" w:rsidR="00122DED" w:rsidRPr="00740C10" w:rsidRDefault="00122DED" w:rsidP="006925C1">
            <w:pPr>
              <w:ind w:left="33"/>
            </w:pPr>
            <w:r>
              <w:t>Kennzeichnung der Räume</w:t>
            </w:r>
          </w:p>
        </w:tc>
        <w:tc>
          <w:tcPr>
            <w:tcW w:w="6804" w:type="dxa"/>
          </w:tcPr>
          <w:p w14:paraId="22042A5E" w14:textId="77777777" w:rsidR="00122DED" w:rsidRDefault="00122DED" w:rsidP="008B3C83">
            <w:pPr>
              <w:jc w:val="both"/>
            </w:pPr>
            <w:r>
              <w:t xml:space="preserve">Kennzeichnung als Gentechnik Arbeitsbereich [mittels geprägtem Metallschild] und dem Gefahrengruppen-Schild „BIO I“ [Beides über Stabsstelle S erhältlich]. </w:t>
            </w:r>
            <w:r w:rsidRPr="009D666A">
              <w:rPr>
                <w:u w:val="single"/>
              </w:rPr>
              <w:t>Keine</w:t>
            </w:r>
            <w:r>
              <w:t xml:space="preserve"> Kennzeichnung mit dem Warnzeichen „Biogefährdung“, außer dies ist durch die </w:t>
            </w:r>
            <w:proofErr w:type="spellStart"/>
            <w:r>
              <w:t>BiostoffV</w:t>
            </w:r>
            <w:proofErr w:type="spellEnd"/>
            <w:r>
              <w:t xml:space="preserve"> gefordert.</w:t>
            </w:r>
          </w:p>
        </w:tc>
        <w:sdt>
          <w:sdtPr>
            <w:id w:val="-188989241"/>
            <w14:checkbox>
              <w14:checked w14:val="0"/>
              <w14:checkedState w14:val="2612" w14:font="MS Gothic"/>
              <w14:uncheckedState w14:val="2610" w14:font="MS Gothic"/>
            </w14:checkbox>
          </w:sdtPr>
          <w:sdtEndPr/>
          <w:sdtContent>
            <w:tc>
              <w:tcPr>
                <w:tcW w:w="426" w:type="dxa"/>
                <w:vAlign w:val="center"/>
              </w:tcPr>
              <w:p w14:paraId="14DA2EEB" w14:textId="77777777" w:rsidR="00122DED" w:rsidRDefault="007D7305" w:rsidP="00AA6726">
                <w:pPr>
                  <w:jc w:val="center"/>
                </w:pPr>
                <w:r>
                  <w:rPr>
                    <w:rFonts w:ascii="MS Gothic" w:eastAsia="MS Gothic" w:hAnsi="MS Gothic" w:hint="eastAsia"/>
                  </w:rPr>
                  <w:t>☐</w:t>
                </w:r>
              </w:p>
            </w:tc>
          </w:sdtContent>
        </w:sdt>
        <w:sdt>
          <w:sdtPr>
            <w:id w:val="-1398123277"/>
            <w14:checkbox>
              <w14:checked w14:val="0"/>
              <w14:checkedState w14:val="2612" w14:font="MS Gothic"/>
              <w14:uncheckedState w14:val="2610" w14:font="MS Gothic"/>
            </w14:checkbox>
          </w:sdtPr>
          <w:sdtEndPr/>
          <w:sdtContent>
            <w:tc>
              <w:tcPr>
                <w:tcW w:w="425" w:type="dxa"/>
                <w:vAlign w:val="center"/>
              </w:tcPr>
              <w:p w14:paraId="1146ADE3" w14:textId="77777777" w:rsidR="00122DED" w:rsidRDefault="00122DED" w:rsidP="00D70147">
                <w:pPr>
                  <w:jc w:val="center"/>
                </w:pPr>
                <w:r>
                  <w:rPr>
                    <w:rFonts w:ascii="MS Gothic" w:eastAsia="MS Gothic" w:hAnsi="MS Gothic" w:hint="eastAsia"/>
                  </w:rPr>
                  <w:t>☐</w:t>
                </w:r>
              </w:p>
            </w:tc>
          </w:sdtContent>
        </w:sdt>
        <w:sdt>
          <w:sdtPr>
            <w:id w:val="1217705510"/>
            <w14:checkbox>
              <w14:checked w14:val="0"/>
              <w14:checkedState w14:val="2612" w14:font="MS Gothic"/>
              <w14:uncheckedState w14:val="2610" w14:font="MS Gothic"/>
            </w14:checkbox>
          </w:sdtPr>
          <w:sdtEndPr/>
          <w:sdtContent>
            <w:tc>
              <w:tcPr>
                <w:tcW w:w="567" w:type="dxa"/>
                <w:vAlign w:val="center"/>
              </w:tcPr>
              <w:p w14:paraId="5F89A000" w14:textId="77777777" w:rsidR="00122DED" w:rsidRDefault="00122DED" w:rsidP="00D70147">
                <w:pPr>
                  <w:jc w:val="center"/>
                </w:pPr>
                <w:r>
                  <w:rPr>
                    <w:rFonts w:ascii="MS Gothic" w:eastAsia="MS Gothic" w:hAnsi="MS Gothic" w:hint="eastAsia"/>
                  </w:rPr>
                  <w:t>☐</w:t>
                </w:r>
              </w:p>
            </w:tc>
          </w:sdtContent>
        </w:sdt>
        <w:tc>
          <w:tcPr>
            <w:tcW w:w="2693" w:type="dxa"/>
            <w:vAlign w:val="center"/>
          </w:tcPr>
          <w:p w14:paraId="3DCC053B" w14:textId="77777777" w:rsidR="00122DED" w:rsidRDefault="00122DED" w:rsidP="00AA6726"/>
        </w:tc>
        <w:tc>
          <w:tcPr>
            <w:tcW w:w="2268" w:type="dxa"/>
          </w:tcPr>
          <w:p w14:paraId="56F16B1E" w14:textId="77777777" w:rsidR="00122DED" w:rsidRDefault="00122DED" w:rsidP="00AA6726"/>
        </w:tc>
      </w:tr>
      <w:tr w:rsidR="00055D7B" w14:paraId="4993B15B" w14:textId="77777777" w:rsidTr="002C3E00">
        <w:tc>
          <w:tcPr>
            <w:tcW w:w="2155" w:type="dxa"/>
            <w:vAlign w:val="center"/>
          </w:tcPr>
          <w:p w14:paraId="5BDDB39E" w14:textId="77777777" w:rsidR="00055D7B" w:rsidRDefault="00055D7B" w:rsidP="006925C1">
            <w:pPr>
              <w:ind w:left="33"/>
            </w:pPr>
            <w:r>
              <w:t>Zutritts-beschränkung</w:t>
            </w:r>
          </w:p>
        </w:tc>
        <w:tc>
          <w:tcPr>
            <w:tcW w:w="8222" w:type="dxa"/>
            <w:gridSpan w:val="4"/>
          </w:tcPr>
          <w:p w14:paraId="6340A850" w14:textId="77777777" w:rsidR="00055D7B" w:rsidRDefault="00055D7B" w:rsidP="00055D7B">
            <w:pPr>
              <w:jc w:val="both"/>
            </w:pPr>
            <w:r>
              <w:t>Info: Bei S1 keine besondere Beschränkung nach GenTSV. [Achtung: giftige Gefahrstoffe müssen verschlossen aufbewahrt werden!]</w:t>
            </w:r>
          </w:p>
        </w:tc>
        <w:tc>
          <w:tcPr>
            <w:tcW w:w="2693" w:type="dxa"/>
            <w:vAlign w:val="center"/>
          </w:tcPr>
          <w:p w14:paraId="4285DED4" w14:textId="77777777" w:rsidR="00055D7B" w:rsidRDefault="00055D7B" w:rsidP="00AA6726"/>
        </w:tc>
        <w:tc>
          <w:tcPr>
            <w:tcW w:w="2268" w:type="dxa"/>
          </w:tcPr>
          <w:p w14:paraId="24C235B9" w14:textId="77777777" w:rsidR="00055D7B" w:rsidRDefault="00055D7B" w:rsidP="00AA6726"/>
        </w:tc>
      </w:tr>
      <w:tr w:rsidR="00122DED" w:rsidRPr="00F13B67" w14:paraId="3E0D62EB" w14:textId="77777777" w:rsidTr="002C3E00">
        <w:tc>
          <w:tcPr>
            <w:tcW w:w="15338" w:type="dxa"/>
            <w:gridSpan w:val="7"/>
            <w:shd w:val="clear" w:color="auto" w:fill="D9D9D9" w:themeFill="background1" w:themeFillShade="D9"/>
            <w:vAlign w:val="center"/>
          </w:tcPr>
          <w:p w14:paraId="4207BDE9" w14:textId="77777777" w:rsidR="00122DED" w:rsidRPr="006925C1" w:rsidRDefault="00122DED" w:rsidP="006925C1">
            <w:pPr>
              <w:ind w:left="360"/>
              <w:rPr>
                <w:b/>
              </w:rPr>
            </w:pPr>
            <w:r w:rsidRPr="006925C1">
              <w:rPr>
                <w:b/>
              </w:rPr>
              <w:t>Bauliche/technische Anforderungen</w:t>
            </w:r>
          </w:p>
        </w:tc>
      </w:tr>
      <w:tr w:rsidR="00122DED" w14:paraId="71CEADE9" w14:textId="77777777" w:rsidTr="002C3E00">
        <w:trPr>
          <w:trHeight w:val="625"/>
        </w:trPr>
        <w:tc>
          <w:tcPr>
            <w:tcW w:w="2155" w:type="dxa"/>
            <w:vMerge w:val="restart"/>
            <w:vAlign w:val="center"/>
          </w:tcPr>
          <w:p w14:paraId="2298B1F5" w14:textId="77777777" w:rsidR="00122DED" w:rsidRDefault="00122DED" w:rsidP="006925C1">
            <w:pPr>
              <w:ind w:left="15"/>
            </w:pPr>
            <w:r>
              <w:t>Oberflächen</w:t>
            </w:r>
          </w:p>
        </w:tc>
        <w:tc>
          <w:tcPr>
            <w:tcW w:w="6804" w:type="dxa"/>
          </w:tcPr>
          <w:p w14:paraId="15B5CF7F" w14:textId="77777777" w:rsidR="00F341B0" w:rsidRDefault="00F341B0" w:rsidP="00F341B0">
            <w:pPr>
              <w:jc w:val="both"/>
            </w:pPr>
            <w:r>
              <w:t>Der Boden des Gewächshauses kann aus Kies oder anderem gewächshaustypischen Material bestehen.</w:t>
            </w:r>
          </w:p>
          <w:p w14:paraId="56EFBCA6" w14:textId="7C1454EF" w:rsidR="00122DED" w:rsidRDefault="00F341B0" w:rsidP="00F341B0">
            <w:pPr>
              <w:jc w:val="both"/>
            </w:pPr>
            <w:proofErr w:type="spellStart"/>
            <w:r>
              <w:t>Erdbeete</w:t>
            </w:r>
            <w:proofErr w:type="spellEnd"/>
            <w:r>
              <w:t xml:space="preserve"> sind ebenfalls geeignet. Es sollen jedoch mindestens die Gehwege befestigt (zum Beispiel</w:t>
            </w:r>
            <w:r>
              <w:t xml:space="preserve"> </w:t>
            </w:r>
            <w:r>
              <w:t xml:space="preserve">betoniert) sein. </w:t>
            </w:r>
          </w:p>
        </w:tc>
        <w:sdt>
          <w:sdtPr>
            <w:id w:val="-1434896299"/>
            <w14:checkbox>
              <w14:checked w14:val="0"/>
              <w14:checkedState w14:val="2612" w14:font="MS Gothic"/>
              <w14:uncheckedState w14:val="2610" w14:font="MS Gothic"/>
            </w14:checkbox>
          </w:sdtPr>
          <w:sdtEndPr/>
          <w:sdtContent>
            <w:tc>
              <w:tcPr>
                <w:tcW w:w="426" w:type="dxa"/>
                <w:vAlign w:val="center"/>
              </w:tcPr>
              <w:p w14:paraId="4625126F" w14:textId="77777777" w:rsidR="00122DED" w:rsidRDefault="007D7305" w:rsidP="004419BF">
                <w:pPr>
                  <w:jc w:val="center"/>
                </w:pPr>
                <w:r>
                  <w:rPr>
                    <w:rFonts w:ascii="MS Gothic" w:eastAsia="MS Gothic" w:hAnsi="MS Gothic" w:hint="eastAsia"/>
                  </w:rPr>
                  <w:t>☐</w:t>
                </w:r>
              </w:p>
            </w:tc>
          </w:sdtContent>
        </w:sdt>
        <w:sdt>
          <w:sdtPr>
            <w:id w:val="1847673289"/>
            <w14:checkbox>
              <w14:checked w14:val="0"/>
              <w14:checkedState w14:val="2612" w14:font="MS Gothic"/>
              <w14:uncheckedState w14:val="2610" w14:font="MS Gothic"/>
            </w14:checkbox>
          </w:sdtPr>
          <w:sdtEndPr/>
          <w:sdtContent>
            <w:tc>
              <w:tcPr>
                <w:tcW w:w="425" w:type="dxa"/>
                <w:vAlign w:val="center"/>
              </w:tcPr>
              <w:p w14:paraId="1740F5E8" w14:textId="77777777" w:rsidR="00122DED" w:rsidRDefault="00122DED" w:rsidP="004419BF">
                <w:pPr>
                  <w:jc w:val="center"/>
                </w:pPr>
                <w:r>
                  <w:rPr>
                    <w:rFonts w:ascii="MS Gothic" w:eastAsia="MS Gothic" w:hAnsi="MS Gothic" w:hint="eastAsia"/>
                  </w:rPr>
                  <w:t>☐</w:t>
                </w:r>
              </w:p>
            </w:tc>
          </w:sdtContent>
        </w:sdt>
        <w:sdt>
          <w:sdtPr>
            <w:id w:val="-542358986"/>
            <w14:checkbox>
              <w14:checked w14:val="0"/>
              <w14:checkedState w14:val="2612" w14:font="MS Gothic"/>
              <w14:uncheckedState w14:val="2610" w14:font="MS Gothic"/>
            </w14:checkbox>
          </w:sdtPr>
          <w:sdtEndPr/>
          <w:sdtContent>
            <w:tc>
              <w:tcPr>
                <w:tcW w:w="567" w:type="dxa"/>
                <w:vAlign w:val="center"/>
              </w:tcPr>
              <w:p w14:paraId="322686FF" w14:textId="77777777" w:rsidR="00122DED" w:rsidRDefault="00122DED" w:rsidP="004419BF">
                <w:pPr>
                  <w:jc w:val="center"/>
                </w:pPr>
                <w:r>
                  <w:rPr>
                    <w:rFonts w:ascii="MS Gothic" w:eastAsia="MS Gothic" w:hAnsi="MS Gothic" w:hint="eastAsia"/>
                  </w:rPr>
                  <w:t>☐</w:t>
                </w:r>
              </w:p>
            </w:tc>
          </w:sdtContent>
        </w:sdt>
        <w:tc>
          <w:tcPr>
            <w:tcW w:w="2693" w:type="dxa"/>
            <w:vMerge w:val="restart"/>
            <w:vAlign w:val="center"/>
          </w:tcPr>
          <w:p w14:paraId="0B15A394" w14:textId="77777777" w:rsidR="00122DED" w:rsidRDefault="00122DED" w:rsidP="00AA6726"/>
        </w:tc>
        <w:tc>
          <w:tcPr>
            <w:tcW w:w="2268" w:type="dxa"/>
          </w:tcPr>
          <w:p w14:paraId="58312E6B" w14:textId="77777777" w:rsidR="00122DED" w:rsidRDefault="00122DED" w:rsidP="00AA6726"/>
        </w:tc>
      </w:tr>
      <w:tr w:rsidR="00122DED" w14:paraId="09996E06" w14:textId="77777777" w:rsidTr="002C3E00">
        <w:trPr>
          <w:trHeight w:val="625"/>
        </w:trPr>
        <w:tc>
          <w:tcPr>
            <w:tcW w:w="2155" w:type="dxa"/>
            <w:vMerge/>
          </w:tcPr>
          <w:p w14:paraId="20F2CB31" w14:textId="77777777" w:rsidR="00122DED" w:rsidRDefault="00122DED" w:rsidP="00AA6726">
            <w:pPr>
              <w:pStyle w:val="Listenabsatz"/>
              <w:numPr>
                <w:ilvl w:val="1"/>
                <w:numId w:val="15"/>
              </w:numPr>
            </w:pPr>
          </w:p>
        </w:tc>
        <w:tc>
          <w:tcPr>
            <w:tcW w:w="6804" w:type="dxa"/>
          </w:tcPr>
          <w:p w14:paraId="1D69E0E8" w14:textId="08E49D4F" w:rsidR="00122DED" w:rsidRPr="00EB7620" w:rsidRDefault="00F341B0" w:rsidP="00F341B0">
            <w:pPr>
              <w:jc w:val="both"/>
            </w:pPr>
            <w:r>
              <w:t xml:space="preserve">Ein Auffangen von Ablaufwasser soll möglich sein, sofern </w:t>
            </w:r>
            <w:r>
              <w:t>in diesem GVOs</w:t>
            </w:r>
            <w:r>
              <w:t xml:space="preserve"> enthalten sein können</w:t>
            </w:r>
            <w:r>
              <w:t>.</w:t>
            </w:r>
          </w:p>
        </w:tc>
        <w:sdt>
          <w:sdtPr>
            <w:id w:val="484046487"/>
            <w14:checkbox>
              <w14:checked w14:val="0"/>
              <w14:checkedState w14:val="2612" w14:font="MS Gothic"/>
              <w14:uncheckedState w14:val="2610" w14:font="MS Gothic"/>
            </w14:checkbox>
          </w:sdtPr>
          <w:sdtEndPr/>
          <w:sdtContent>
            <w:tc>
              <w:tcPr>
                <w:tcW w:w="426" w:type="dxa"/>
                <w:vAlign w:val="center"/>
              </w:tcPr>
              <w:p w14:paraId="01E5F06A" w14:textId="77777777" w:rsidR="00122DED" w:rsidRDefault="00122DED" w:rsidP="004419BF">
                <w:pPr>
                  <w:jc w:val="center"/>
                </w:pPr>
                <w:r>
                  <w:rPr>
                    <w:rFonts w:ascii="MS Gothic" w:eastAsia="MS Gothic" w:hAnsi="MS Gothic" w:hint="eastAsia"/>
                  </w:rPr>
                  <w:t>☐</w:t>
                </w:r>
              </w:p>
            </w:tc>
          </w:sdtContent>
        </w:sdt>
        <w:sdt>
          <w:sdtPr>
            <w:id w:val="1586419231"/>
            <w14:checkbox>
              <w14:checked w14:val="0"/>
              <w14:checkedState w14:val="2612" w14:font="MS Gothic"/>
              <w14:uncheckedState w14:val="2610" w14:font="MS Gothic"/>
            </w14:checkbox>
          </w:sdtPr>
          <w:sdtEndPr/>
          <w:sdtContent>
            <w:tc>
              <w:tcPr>
                <w:tcW w:w="425" w:type="dxa"/>
                <w:vAlign w:val="center"/>
              </w:tcPr>
              <w:p w14:paraId="6D44B499" w14:textId="77777777" w:rsidR="00122DED" w:rsidRDefault="00122DED" w:rsidP="004419BF">
                <w:pPr>
                  <w:jc w:val="center"/>
                </w:pPr>
                <w:r>
                  <w:rPr>
                    <w:rFonts w:ascii="MS Gothic" w:eastAsia="MS Gothic" w:hAnsi="MS Gothic" w:hint="eastAsia"/>
                  </w:rPr>
                  <w:t>☐</w:t>
                </w:r>
              </w:p>
            </w:tc>
          </w:sdtContent>
        </w:sdt>
        <w:sdt>
          <w:sdtPr>
            <w:id w:val="1389687101"/>
            <w14:checkbox>
              <w14:checked w14:val="0"/>
              <w14:checkedState w14:val="2612" w14:font="MS Gothic"/>
              <w14:uncheckedState w14:val="2610" w14:font="MS Gothic"/>
            </w14:checkbox>
          </w:sdtPr>
          <w:sdtEndPr/>
          <w:sdtContent>
            <w:tc>
              <w:tcPr>
                <w:tcW w:w="567" w:type="dxa"/>
                <w:vAlign w:val="center"/>
              </w:tcPr>
              <w:p w14:paraId="7FD14439" w14:textId="77777777" w:rsidR="00122DED" w:rsidRDefault="007D7305" w:rsidP="004419BF">
                <w:pPr>
                  <w:jc w:val="center"/>
                </w:pPr>
                <w:r>
                  <w:rPr>
                    <w:rFonts w:ascii="MS Gothic" w:eastAsia="MS Gothic" w:hAnsi="MS Gothic" w:hint="eastAsia"/>
                  </w:rPr>
                  <w:t>☐</w:t>
                </w:r>
              </w:p>
            </w:tc>
          </w:sdtContent>
        </w:sdt>
        <w:tc>
          <w:tcPr>
            <w:tcW w:w="2693" w:type="dxa"/>
            <w:vMerge/>
            <w:vAlign w:val="center"/>
          </w:tcPr>
          <w:p w14:paraId="1A332C2E" w14:textId="77777777" w:rsidR="00122DED" w:rsidRDefault="00122DED" w:rsidP="00AA6726"/>
        </w:tc>
        <w:tc>
          <w:tcPr>
            <w:tcW w:w="2268" w:type="dxa"/>
          </w:tcPr>
          <w:p w14:paraId="3832A2B9" w14:textId="77777777" w:rsidR="00122DED" w:rsidRDefault="00122DED" w:rsidP="00AA6726"/>
        </w:tc>
      </w:tr>
      <w:tr w:rsidR="00122DED" w14:paraId="2B64BFC7" w14:textId="77777777" w:rsidTr="002C3E00">
        <w:trPr>
          <w:trHeight w:val="405"/>
        </w:trPr>
        <w:tc>
          <w:tcPr>
            <w:tcW w:w="2155" w:type="dxa"/>
            <w:vMerge w:val="restart"/>
            <w:vAlign w:val="center"/>
          </w:tcPr>
          <w:p w14:paraId="6D7515B7" w14:textId="065C0977" w:rsidR="00122DED" w:rsidRDefault="00F341B0" w:rsidP="006925C1">
            <w:pPr>
              <w:ind w:left="61" w:right="9"/>
            </w:pPr>
            <w:r>
              <w:t>Fenster, Öffnungen</w:t>
            </w:r>
          </w:p>
        </w:tc>
        <w:tc>
          <w:tcPr>
            <w:tcW w:w="6804" w:type="dxa"/>
          </w:tcPr>
          <w:p w14:paraId="00871B5D" w14:textId="78A0F2E5" w:rsidR="00F341B0" w:rsidRDefault="00F341B0" w:rsidP="00F341B0">
            <w:pPr>
              <w:jc w:val="both"/>
            </w:pPr>
            <w:r>
              <w:t>Die Fenster und sonstigen Öffnungen des Gewächshauses dürfen zu Belüftungszwecken geöffnet werden</w:t>
            </w:r>
            <w:r>
              <w:t xml:space="preserve"> </w:t>
            </w:r>
            <w:r>
              <w:t>und erfordern grundsätzlich keine besondere Schutzvorrichtung, um Pollen, Mikroorganismen oder</w:t>
            </w:r>
            <w:r>
              <w:t xml:space="preserve"> </w:t>
            </w:r>
            <w:r>
              <w:t>kleine Flugtiere (zum Beispiel Gliederfüßer oder Vögel) abzuhalten oder auszuschließen</w:t>
            </w:r>
            <w:r>
              <w:t>.</w:t>
            </w:r>
          </w:p>
        </w:tc>
        <w:sdt>
          <w:sdtPr>
            <w:id w:val="1203373061"/>
            <w14:checkbox>
              <w14:checked w14:val="0"/>
              <w14:checkedState w14:val="2612" w14:font="MS Gothic"/>
              <w14:uncheckedState w14:val="2610" w14:font="MS Gothic"/>
            </w14:checkbox>
          </w:sdtPr>
          <w:sdtEndPr/>
          <w:sdtContent>
            <w:tc>
              <w:tcPr>
                <w:tcW w:w="426" w:type="dxa"/>
                <w:vAlign w:val="center"/>
              </w:tcPr>
              <w:p w14:paraId="5A31727C" w14:textId="77777777" w:rsidR="00122DED" w:rsidRDefault="007D7305" w:rsidP="00AA6726">
                <w:pPr>
                  <w:jc w:val="center"/>
                </w:pPr>
                <w:r>
                  <w:rPr>
                    <w:rFonts w:ascii="MS Gothic" w:eastAsia="MS Gothic" w:hAnsi="MS Gothic" w:hint="eastAsia"/>
                  </w:rPr>
                  <w:t>☐</w:t>
                </w:r>
              </w:p>
            </w:tc>
          </w:sdtContent>
        </w:sdt>
        <w:sdt>
          <w:sdtPr>
            <w:id w:val="-1082213789"/>
            <w14:checkbox>
              <w14:checked w14:val="0"/>
              <w14:checkedState w14:val="2612" w14:font="MS Gothic"/>
              <w14:uncheckedState w14:val="2610" w14:font="MS Gothic"/>
            </w14:checkbox>
          </w:sdtPr>
          <w:sdtEndPr/>
          <w:sdtContent>
            <w:tc>
              <w:tcPr>
                <w:tcW w:w="425" w:type="dxa"/>
                <w:vAlign w:val="center"/>
              </w:tcPr>
              <w:p w14:paraId="3601E5A0" w14:textId="77777777" w:rsidR="00122DED" w:rsidRDefault="00122DED" w:rsidP="004419BF">
                <w:pPr>
                  <w:jc w:val="center"/>
                </w:pPr>
                <w:r>
                  <w:rPr>
                    <w:rFonts w:ascii="MS Gothic" w:eastAsia="MS Gothic" w:hAnsi="MS Gothic" w:hint="eastAsia"/>
                  </w:rPr>
                  <w:t>☐</w:t>
                </w:r>
              </w:p>
            </w:tc>
          </w:sdtContent>
        </w:sdt>
        <w:sdt>
          <w:sdtPr>
            <w:id w:val="-2023156789"/>
            <w14:checkbox>
              <w14:checked w14:val="0"/>
              <w14:checkedState w14:val="2612" w14:font="MS Gothic"/>
              <w14:uncheckedState w14:val="2610" w14:font="MS Gothic"/>
            </w14:checkbox>
          </w:sdtPr>
          <w:sdtEndPr/>
          <w:sdtContent>
            <w:tc>
              <w:tcPr>
                <w:tcW w:w="567" w:type="dxa"/>
                <w:vAlign w:val="center"/>
              </w:tcPr>
              <w:p w14:paraId="01D3039F" w14:textId="77777777" w:rsidR="00122DED" w:rsidRDefault="00122DED" w:rsidP="004419BF">
                <w:pPr>
                  <w:jc w:val="center"/>
                </w:pPr>
                <w:r>
                  <w:rPr>
                    <w:rFonts w:ascii="MS Gothic" w:eastAsia="MS Gothic" w:hAnsi="MS Gothic" w:hint="eastAsia"/>
                  </w:rPr>
                  <w:t>☐</w:t>
                </w:r>
              </w:p>
            </w:tc>
          </w:sdtContent>
        </w:sdt>
        <w:tc>
          <w:tcPr>
            <w:tcW w:w="2693" w:type="dxa"/>
            <w:vMerge w:val="restart"/>
            <w:vAlign w:val="center"/>
          </w:tcPr>
          <w:p w14:paraId="173E8BBC" w14:textId="77777777" w:rsidR="00122DED" w:rsidRDefault="00122DED" w:rsidP="00AA6726"/>
        </w:tc>
        <w:tc>
          <w:tcPr>
            <w:tcW w:w="2268" w:type="dxa"/>
            <w:vMerge w:val="restart"/>
          </w:tcPr>
          <w:p w14:paraId="55835BC7" w14:textId="77777777" w:rsidR="00122DED" w:rsidRDefault="00122DED" w:rsidP="00AA6726"/>
        </w:tc>
      </w:tr>
      <w:tr w:rsidR="00122DED" w14:paraId="080BC8B6" w14:textId="77777777" w:rsidTr="002C3E00">
        <w:trPr>
          <w:trHeight w:val="405"/>
        </w:trPr>
        <w:tc>
          <w:tcPr>
            <w:tcW w:w="2155" w:type="dxa"/>
            <w:vMerge/>
            <w:vAlign w:val="center"/>
          </w:tcPr>
          <w:p w14:paraId="531E1101" w14:textId="77777777" w:rsidR="00122DED" w:rsidRDefault="00122DED" w:rsidP="006925C1">
            <w:pPr>
              <w:pStyle w:val="Listenabsatz"/>
              <w:numPr>
                <w:ilvl w:val="1"/>
                <w:numId w:val="15"/>
              </w:numPr>
            </w:pPr>
          </w:p>
        </w:tc>
        <w:tc>
          <w:tcPr>
            <w:tcW w:w="6804" w:type="dxa"/>
          </w:tcPr>
          <w:p w14:paraId="437F39CA" w14:textId="355793E0" w:rsidR="00122DED" w:rsidRDefault="00F341B0" w:rsidP="00F341B0">
            <w:pPr>
              <w:ind w:left="-39"/>
              <w:jc w:val="both"/>
            </w:pPr>
            <w:r>
              <w:t xml:space="preserve">Ist ein Austrag von GVOs in einem solchen Maß möglich, dass es zu einer Gefährdung der Schutzgüter kommen kann, sind Sicherheitsmaßnahmen gegen den Austrag von GVO </w:t>
            </w:r>
            <w:r w:rsidRPr="00F341B0">
              <w:rPr>
                <w:b/>
                <w:bCs/>
              </w:rPr>
              <w:t>oder</w:t>
            </w:r>
            <w:r>
              <w:t xml:space="preserve"> gegen das Eindringen von Tieren, die GVO verbreiten können, notwendig. Dies können zum Beispiel Netze zur Vermeidung des Austrags von flugfähigen Samen oder gegen Vögel oder Insekten sein.</w:t>
            </w:r>
          </w:p>
        </w:tc>
        <w:sdt>
          <w:sdtPr>
            <w:id w:val="-1704387565"/>
            <w14:checkbox>
              <w14:checked w14:val="0"/>
              <w14:checkedState w14:val="2612" w14:font="MS Gothic"/>
              <w14:uncheckedState w14:val="2610" w14:font="MS Gothic"/>
            </w14:checkbox>
          </w:sdtPr>
          <w:sdtEndPr/>
          <w:sdtContent>
            <w:tc>
              <w:tcPr>
                <w:tcW w:w="426" w:type="dxa"/>
                <w:vAlign w:val="center"/>
              </w:tcPr>
              <w:p w14:paraId="02D8DFD7" w14:textId="77777777" w:rsidR="00122DED" w:rsidRDefault="007D7305" w:rsidP="00AA6726">
                <w:pPr>
                  <w:jc w:val="center"/>
                </w:pPr>
                <w:r>
                  <w:rPr>
                    <w:rFonts w:ascii="MS Gothic" w:eastAsia="MS Gothic" w:hAnsi="MS Gothic" w:hint="eastAsia"/>
                  </w:rPr>
                  <w:t>☐</w:t>
                </w:r>
              </w:p>
            </w:tc>
          </w:sdtContent>
        </w:sdt>
        <w:sdt>
          <w:sdtPr>
            <w:id w:val="1446352959"/>
            <w14:checkbox>
              <w14:checked w14:val="0"/>
              <w14:checkedState w14:val="2612" w14:font="MS Gothic"/>
              <w14:uncheckedState w14:val="2610" w14:font="MS Gothic"/>
            </w14:checkbox>
          </w:sdtPr>
          <w:sdtEndPr/>
          <w:sdtContent>
            <w:tc>
              <w:tcPr>
                <w:tcW w:w="425" w:type="dxa"/>
                <w:vAlign w:val="center"/>
              </w:tcPr>
              <w:p w14:paraId="550FEC55" w14:textId="77777777" w:rsidR="00122DED" w:rsidRDefault="00122DED" w:rsidP="004419BF">
                <w:pPr>
                  <w:jc w:val="center"/>
                </w:pPr>
                <w:r>
                  <w:rPr>
                    <w:rFonts w:ascii="MS Gothic" w:eastAsia="MS Gothic" w:hAnsi="MS Gothic" w:hint="eastAsia"/>
                  </w:rPr>
                  <w:t>☐</w:t>
                </w:r>
              </w:p>
            </w:tc>
          </w:sdtContent>
        </w:sdt>
        <w:sdt>
          <w:sdtPr>
            <w:id w:val="-164710224"/>
            <w14:checkbox>
              <w14:checked w14:val="0"/>
              <w14:checkedState w14:val="2612" w14:font="MS Gothic"/>
              <w14:uncheckedState w14:val="2610" w14:font="MS Gothic"/>
            </w14:checkbox>
          </w:sdtPr>
          <w:sdtEndPr/>
          <w:sdtContent>
            <w:tc>
              <w:tcPr>
                <w:tcW w:w="567" w:type="dxa"/>
                <w:vAlign w:val="center"/>
              </w:tcPr>
              <w:p w14:paraId="5EEA5FAE" w14:textId="77777777" w:rsidR="00122DED" w:rsidRDefault="00267130" w:rsidP="004419BF">
                <w:pPr>
                  <w:jc w:val="center"/>
                </w:pPr>
                <w:r>
                  <w:rPr>
                    <w:rFonts w:ascii="MS Gothic" w:eastAsia="MS Gothic" w:hAnsi="MS Gothic" w:hint="eastAsia"/>
                  </w:rPr>
                  <w:t>☐</w:t>
                </w:r>
              </w:p>
            </w:tc>
          </w:sdtContent>
        </w:sdt>
        <w:tc>
          <w:tcPr>
            <w:tcW w:w="2693" w:type="dxa"/>
            <w:vMerge/>
            <w:vAlign w:val="center"/>
          </w:tcPr>
          <w:p w14:paraId="60658F25" w14:textId="77777777" w:rsidR="00122DED" w:rsidRDefault="00122DED" w:rsidP="00AA6726"/>
        </w:tc>
        <w:tc>
          <w:tcPr>
            <w:tcW w:w="2268" w:type="dxa"/>
            <w:vMerge/>
          </w:tcPr>
          <w:p w14:paraId="33315EBA" w14:textId="77777777" w:rsidR="00122DED" w:rsidRDefault="00122DED" w:rsidP="00AA6726"/>
        </w:tc>
      </w:tr>
      <w:tr w:rsidR="00122DED" w14:paraId="40ACBEE5" w14:textId="77777777" w:rsidTr="002C3E00">
        <w:trPr>
          <w:trHeight w:val="803"/>
        </w:trPr>
        <w:tc>
          <w:tcPr>
            <w:tcW w:w="2155" w:type="dxa"/>
            <w:vAlign w:val="center"/>
          </w:tcPr>
          <w:p w14:paraId="471F9801" w14:textId="77777777" w:rsidR="00122DED" w:rsidRDefault="006925C1" w:rsidP="006925C1">
            <w:pPr>
              <w:ind w:left="55"/>
            </w:pPr>
            <w:r>
              <w:t>Handwasch</w:t>
            </w:r>
            <w:r w:rsidR="00122DED">
              <w:t>becken</w:t>
            </w:r>
          </w:p>
        </w:tc>
        <w:tc>
          <w:tcPr>
            <w:tcW w:w="6804" w:type="dxa"/>
          </w:tcPr>
          <w:p w14:paraId="51E797D6" w14:textId="792100EB" w:rsidR="00F341B0" w:rsidRDefault="00F341B0" w:rsidP="00F341B0">
            <w:pPr>
              <w:ind w:left="-39"/>
              <w:jc w:val="both"/>
            </w:pPr>
            <w:r>
              <w:t>Es soll eine leicht erreichbare Waschgelegenheit zur Reinigung der Hände mit einem Handwaschmittelspender</w:t>
            </w:r>
            <w:r>
              <w:t xml:space="preserve"> </w:t>
            </w:r>
            <w:r>
              <w:t>und erforderlichenfalls einem Einmalhandtuchspender sowie einem Desinfektionsmittelspender</w:t>
            </w:r>
          </w:p>
          <w:p w14:paraId="6D2AB336" w14:textId="3CB8E095" w:rsidR="00122DED" w:rsidRDefault="00F341B0" w:rsidP="00F341B0">
            <w:pPr>
              <w:ind w:left="-39"/>
              <w:jc w:val="both"/>
            </w:pPr>
            <w:r>
              <w:t>vorhanden sein.</w:t>
            </w:r>
          </w:p>
        </w:tc>
        <w:tc>
          <w:tcPr>
            <w:tcW w:w="426" w:type="dxa"/>
            <w:vAlign w:val="center"/>
          </w:tcPr>
          <w:sdt>
            <w:sdtPr>
              <w:id w:val="1919904543"/>
              <w14:checkbox>
                <w14:checked w14:val="0"/>
                <w14:checkedState w14:val="2612" w14:font="MS Gothic"/>
                <w14:uncheckedState w14:val="2610" w14:font="MS Gothic"/>
              </w14:checkbox>
            </w:sdtPr>
            <w:sdtEndPr/>
            <w:sdtContent>
              <w:p w14:paraId="1A2A099E" w14:textId="77777777" w:rsidR="00122DED" w:rsidRDefault="007D7305" w:rsidP="004419BF">
                <w:pPr>
                  <w:jc w:val="center"/>
                </w:pPr>
                <w:r>
                  <w:rPr>
                    <w:rFonts w:ascii="MS Gothic" w:eastAsia="MS Gothic" w:hAnsi="MS Gothic" w:hint="eastAsia"/>
                  </w:rPr>
                  <w:t>☐</w:t>
                </w:r>
              </w:p>
            </w:sdtContent>
          </w:sdt>
        </w:tc>
        <w:sdt>
          <w:sdtPr>
            <w:id w:val="-1427026103"/>
            <w14:checkbox>
              <w14:checked w14:val="0"/>
              <w14:checkedState w14:val="2612" w14:font="MS Gothic"/>
              <w14:uncheckedState w14:val="2610" w14:font="MS Gothic"/>
            </w14:checkbox>
          </w:sdtPr>
          <w:sdtEndPr/>
          <w:sdtContent>
            <w:tc>
              <w:tcPr>
                <w:tcW w:w="425" w:type="dxa"/>
                <w:vAlign w:val="center"/>
              </w:tcPr>
              <w:p w14:paraId="59BFB48F" w14:textId="77777777" w:rsidR="00122DED" w:rsidRDefault="00122DED" w:rsidP="004419BF">
                <w:pPr>
                  <w:jc w:val="center"/>
                </w:pPr>
                <w:r>
                  <w:rPr>
                    <w:rFonts w:ascii="MS Gothic" w:eastAsia="MS Gothic" w:hAnsi="MS Gothic" w:hint="eastAsia"/>
                  </w:rPr>
                  <w:t>☐</w:t>
                </w:r>
              </w:p>
            </w:tc>
          </w:sdtContent>
        </w:sdt>
        <w:sdt>
          <w:sdtPr>
            <w:id w:val="-1266531281"/>
            <w14:checkbox>
              <w14:checked w14:val="0"/>
              <w14:checkedState w14:val="2612" w14:font="MS Gothic"/>
              <w14:uncheckedState w14:val="2610" w14:font="MS Gothic"/>
            </w14:checkbox>
          </w:sdtPr>
          <w:sdtEndPr/>
          <w:sdtContent>
            <w:tc>
              <w:tcPr>
                <w:tcW w:w="567" w:type="dxa"/>
                <w:vAlign w:val="center"/>
              </w:tcPr>
              <w:p w14:paraId="2A7EBAB3" w14:textId="77777777" w:rsidR="00122DED" w:rsidRDefault="00122DED" w:rsidP="004419BF">
                <w:pPr>
                  <w:jc w:val="center"/>
                </w:pPr>
                <w:r>
                  <w:rPr>
                    <w:rFonts w:ascii="MS Gothic" w:eastAsia="MS Gothic" w:hAnsi="MS Gothic" w:hint="eastAsia"/>
                  </w:rPr>
                  <w:t>☐</w:t>
                </w:r>
              </w:p>
            </w:tc>
          </w:sdtContent>
        </w:sdt>
        <w:tc>
          <w:tcPr>
            <w:tcW w:w="2693" w:type="dxa"/>
            <w:vAlign w:val="center"/>
          </w:tcPr>
          <w:p w14:paraId="5ACD3C51" w14:textId="77777777" w:rsidR="00122DED" w:rsidRDefault="00122DED" w:rsidP="00AA6726"/>
        </w:tc>
        <w:tc>
          <w:tcPr>
            <w:tcW w:w="2268" w:type="dxa"/>
          </w:tcPr>
          <w:p w14:paraId="0E8FE0B8" w14:textId="77777777" w:rsidR="00122DED" w:rsidRDefault="00122DED" w:rsidP="00AA6726"/>
        </w:tc>
      </w:tr>
      <w:tr w:rsidR="00055D7B" w:rsidRPr="00F13B67" w14:paraId="20C06605" w14:textId="77777777" w:rsidTr="002C3E00">
        <w:tc>
          <w:tcPr>
            <w:tcW w:w="15338" w:type="dxa"/>
            <w:gridSpan w:val="7"/>
            <w:shd w:val="clear" w:color="auto" w:fill="D9D9D9" w:themeFill="background1" w:themeFillShade="D9"/>
            <w:vAlign w:val="center"/>
          </w:tcPr>
          <w:p w14:paraId="058A2BD6" w14:textId="77777777" w:rsidR="00055D7B" w:rsidRPr="006925C1" w:rsidRDefault="00055D7B" w:rsidP="00055D7B">
            <w:pPr>
              <w:ind w:left="360"/>
              <w:rPr>
                <w:b/>
                <w:vanish/>
              </w:rPr>
            </w:pPr>
            <w:r w:rsidRPr="006925C1">
              <w:rPr>
                <w:b/>
              </w:rPr>
              <w:t>Organisatorische Anforderungen</w:t>
            </w:r>
          </w:p>
        </w:tc>
      </w:tr>
      <w:tr w:rsidR="00C026BC" w14:paraId="43C696CB" w14:textId="77777777" w:rsidTr="002C3E00">
        <w:trPr>
          <w:trHeight w:val="824"/>
        </w:trPr>
        <w:tc>
          <w:tcPr>
            <w:tcW w:w="2155" w:type="dxa"/>
            <w:vMerge w:val="restart"/>
            <w:vAlign w:val="center"/>
          </w:tcPr>
          <w:p w14:paraId="101686EA" w14:textId="771DF1AC" w:rsidR="00C026BC" w:rsidRDefault="00C026BC" w:rsidP="00C026BC">
            <w:r>
              <w:t>Entsorgung, Inaktivierung</w:t>
            </w:r>
          </w:p>
        </w:tc>
        <w:tc>
          <w:tcPr>
            <w:tcW w:w="6804" w:type="dxa"/>
          </w:tcPr>
          <w:p w14:paraId="4B428238" w14:textId="7BFE081D" w:rsidR="00C026BC" w:rsidRPr="00EB7620" w:rsidRDefault="00C026BC" w:rsidP="00C026BC">
            <w:pPr>
              <w:jc w:val="both"/>
            </w:pPr>
            <w:r>
              <w:t>In gentechnischen Experimenten verwendete Pflanzen sind mit geeigneten Methoden, insbesondere</w:t>
            </w:r>
            <w:r>
              <w:t xml:space="preserve"> </w:t>
            </w:r>
            <w:r>
              <w:t>durch Abschneiden der Vermehrungsorgane, vermehrungsunfähig zu machen, bevor sie außerhalb des</w:t>
            </w:r>
            <w:r>
              <w:t xml:space="preserve"> </w:t>
            </w:r>
            <w:r>
              <w:t>Gewächshauses, jedoch auf dem umgebenden Gelände des Betreibers, unschädlich entsorgt werden.</w:t>
            </w:r>
          </w:p>
        </w:tc>
        <w:sdt>
          <w:sdtPr>
            <w:id w:val="932406170"/>
            <w14:checkbox>
              <w14:checked w14:val="0"/>
              <w14:checkedState w14:val="2612" w14:font="MS Gothic"/>
              <w14:uncheckedState w14:val="2610" w14:font="MS Gothic"/>
            </w14:checkbox>
          </w:sdtPr>
          <w:sdtContent>
            <w:tc>
              <w:tcPr>
                <w:tcW w:w="426" w:type="dxa"/>
                <w:vAlign w:val="center"/>
              </w:tcPr>
              <w:p w14:paraId="518A758F" w14:textId="5FA9AFC1" w:rsidR="00C026BC" w:rsidRDefault="00C026BC" w:rsidP="00055D7B">
                <w:pPr>
                  <w:jc w:val="center"/>
                </w:pPr>
                <w:r>
                  <w:rPr>
                    <w:rFonts w:ascii="MS Gothic" w:eastAsia="MS Gothic" w:hAnsi="MS Gothic" w:hint="eastAsia"/>
                  </w:rPr>
                  <w:t>☐</w:t>
                </w:r>
              </w:p>
            </w:tc>
          </w:sdtContent>
        </w:sdt>
        <w:sdt>
          <w:sdtPr>
            <w:id w:val="-2097781944"/>
            <w14:checkbox>
              <w14:checked w14:val="0"/>
              <w14:checkedState w14:val="2612" w14:font="MS Gothic"/>
              <w14:uncheckedState w14:val="2610" w14:font="MS Gothic"/>
            </w14:checkbox>
          </w:sdtPr>
          <w:sdtContent>
            <w:tc>
              <w:tcPr>
                <w:tcW w:w="425" w:type="dxa"/>
                <w:vAlign w:val="center"/>
              </w:tcPr>
              <w:p w14:paraId="47CCD946" w14:textId="5EBF3804" w:rsidR="00C026BC" w:rsidRDefault="00C026BC" w:rsidP="00055D7B">
                <w:pPr>
                  <w:jc w:val="center"/>
                </w:pPr>
                <w:r>
                  <w:rPr>
                    <w:rFonts w:ascii="MS Gothic" w:eastAsia="MS Gothic" w:hAnsi="MS Gothic" w:hint="eastAsia"/>
                  </w:rPr>
                  <w:t>☐</w:t>
                </w:r>
              </w:p>
            </w:tc>
          </w:sdtContent>
        </w:sdt>
        <w:sdt>
          <w:sdtPr>
            <w:id w:val="425846490"/>
            <w14:checkbox>
              <w14:checked w14:val="0"/>
              <w14:checkedState w14:val="2612" w14:font="MS Gothic"/>
              <w14:uncheckedState w14:val="2610" w14:font="MS Gothic"/>
            </w14:checkbox>
          </w:sdtPr>
          <w:sdtContent>
            <w:tc>
              <w:tcPr>
                <w:tcW w:w="567" w:type="dxa"/>
                <w:vAlign w:val="center"/>
              </w:tcPr>
              <w:p w14:paraId="18B8229B" w14:textId="1A36825A" w:rsidR="00C026BC" w:rsidRDefault="00C026BC" w:rsidP="00055D7B">
                <w:pPr>
                  <w:jc w:val="center"/>
                </w:pPr>
                <w:r>
                  <w:rPr>
                    <w:rFonts w:ascii="MS Gothic" w:eastAsia="MS Gothic" w:hAnsi="MS Gothic" w:hint="eastAsia"/>
                  </w:rPr>
                  <w:t>☐</w:t>
                </w:r>
              </w:p>
            </w:tc>
          </w:sdtContent>
        </w:sdt>
        <w:tc>
          <w:tcPr>
            <w:tcW w:w="2693" w:type="dxa"/>
            <w:vMerge w:val="restart"/>
            <w:vAlign w:val="center"/>
          </w:tcPr>
          <w:p w14:paraId="6B14556B" w14:textId="77777777" w:rsidR="00C026BC" w:rsidRDefault="00C026BC" w:rsidP="00055D7B"/>
        </w:tc>
        <w:tc>
          <w:tcPr>
            <w:tcW w:w="2268" w:type="dxa"/>
            <w:vMerge w:val="restart"/>
          </w:tcPr>
          <w:p w14:paraId="061DE428" w14:textId="77777777" w:rsidR="00C026BC" w:rsidRDefault="00C026BC" w:rsidP="00055D7B"/>
        </w:tc>
      </w:tr>
      <w:tr w:rsidR="00C026BC" w14:paraId="2AF49A29" w14:textId="77777777" w:rsidTr="002C3E00">
        <w:trPr>
          <w:trHeight w:val="823"/>
        </w:trPr>
        <w:tc>
          <w:tcPr>
            <w:tcW w:w="2155" w:type="dxa"/>
            <w:vMerge/>
          </w:tcPr>
          <w:p w14:paraId="1D88CE8A" w14:textId="77777777" w:rsidR="00C026BC" w:rsidRDefault="00C026BC" w:rsidP="00055D7B"/>
        </w:tc>
        <w:tc>
          <w:tcPr>
            <w:tcW w:w="6804" w:type="dxa"/>
          </w:tcPr>
          <w:p w14:paraId="246848EB" w14:textId="5B8A3F76" w:rsidR="00C026BC" w:rsidRDefault="00C026BC" w:rsidP="00C026BC">
            <w:pPr>
              <w:jc w:val="both"/>
            </w:pPr>
            <w:r>
              <w:t>Generative bzw. vermehrungsfähige Teile der Pflanzen sind innerhalb des Gewächshauses oder in einer anderen gentechnischen Anlage innerhalb des Betriebsgeländes des Standorts zu inaktivieren.</w:t>
            </w:r>
          </w:p>
        </w:tc>
        <w:sdt>
          <w:sdtPr>
            <w:id w:val="780450573"/>
            <w14:checkbox>
              <w14:checked w14:val="0"/>
              <w14:checkedState w14:val="2612" w14:font="MS Gothic"/>
              <w14:uncheckedState w14:val="2610" w14:font="MS Gothic"/>
            </w14:checkbox>
          </w:sdtPr>
          <w:sdtContent>
            <w:tc>
              <w:tcPr>
                <w:tcW w:w="426" w:type="dxa"/>
                <w:vAlign w:val="center"/>
              </w:tcPr>
              <w:p w14:paraId="4FC22F78" w14:textId="1CB8BA54" w:rsidR="00C026BC" w:rsidRDefault="00C026BC" w:rsidP="00055D7B">
                <w:pPr>
                  <w:jc w:val="center"/>
                </w:pPr>
                <w:r>
                  <w:rPr>
                    <w:rFonts w:ascii="MS Gothic" w:eastAsia="MS Gothic" w:hAnsi="MS Gothic" w:hint="eastAsia"/>
                  </w:rPr>
                  <w:t>☐</w:t>
                </w:r>
              </w:p>
            </w:tc>
          </w:sdtContent>
        </w:sdt>
        <w:sdt>
          <w:sdtPr>
            <w:id w:val="1060208382"/>
            <w14:checkbox>
              <w14:checked w14:val="0"/>
              <w14:checkedState w14:val="2612" w14:font="MS Gothic"/>
              <w14:uncheckedState w14:val="2610" w14:font="MS Gothic"/>
            </w14:checkbox>
          </w:sdtPr>
          <w:sdtContent>
            <w:tc>
              <w:tcPr>
                <w:tcW w:w="425" w:type="dxa"/>
                <w:vAlign w:val="center"/>
              </w:tcPr>
              <w:p w14:paraId="67A3EF19" w14:textId="162A2FC1" w:rsidR="00C026BC" w:rsidRDefault="00C026BC" w:rsidP="00055D7B">
                <w:pPr>
                  <w:jc w:val="center"/>
                </w:pPr>
                <w:r>
                  <w:rPr>
                    <w:rFonts w:ascii="MS Gothic" w:eastAsia="MS Gothic" w:hAnsi="MS Gothic" w:hint="eastAsia"/>
                  </w:rPr>
                  <w:t>☐</w:t>
                </w:r>
              </w:p>
            </w:tc>
          </w:sdtContent>
        </w:sdt>
        <w:sdt>
          <w:sdtPr>
            <w:id w:val="1768808160"/>
            <w14:checkbox>
              <w14:checked w14:val="0"/>
              <w14:checkedState w14:val="2612" w14:font="MS Gothic"/>
              <w14:uncheckedState w14:val="2610" w14:font="MS Gothic"/>
            </w14:checkbox>
          </w:sdtPr>
          <w:sdtContent>
            <w:tc>
              <w:tcPr>
                <w:tcW w:w="567" w:type="dxa"/>
                <w:vAlign w:val="center"/>
              </w:tcPr>
              <w:p w14:paraId="1718907D" w14:textId="511E0E47" w:rsidR="00C026BC" w:rsidRDefault="00C026BC" w:rsidP="00055D7B">
                <w:pPr>
                  <w:jc w:val="center"/>
                </w:pPr>
                <w:r>
                  <w:rPr>
                    <w:rFonts w:ascii="MS Gothic" w:eastAsia="MS Gothic" w:hAnsi="MS Gothic" w:hint="eastAsia"/>
                  </w:rPr>
                  <w:t>☐</w:t>
                </w:r>
              </w:p>
            </w:tc>
          </w:sdtContent>
        </w:sdt>
        <w:tc>
          <w:tcPr>
            <w:tcW w:w="2693" w:type="dxa"/>
            <w:vMerge/>
            <w:vAlign w:val="center"/>
          </w:tcPr>
          <w:p w14:paraId="246BCF4C" w14:textId="77777777" w:rsidR="00C026BC" w:rsidRDefault="00C026BC" w:rsidP="00055D7B"/>
        </w:tc>
        <w:tc>
          <w:tcPr>
            <w:tcW w:w="2268" w:type="dxa"/>
            <w:vMerge/>
          </w:tcPr>
          <w:p w14:paraId="56FC5FD0" w14:textId="77777777" w:rsidR="00C026BC" w:rsidRDefault="00C026BC" w:rsidP="00055D7B"/>
        </w:tc>
      </w:tr>
      <w:tr w:rsidR="00055D7B" w14:paraId="508A89D9" w14:textId="77777777" w:rsidTr="002C3E00">
        <w:tc>
          <w:tcPr>
            <w:tcW w:w="2155" w:type="dxa"/>
            <w:vAlign w:val="center"/>
          </w:tcPr>
          <w:p w14:paraId="2DEAC806" w14:textId="226A67E6" w:rsidR="00055D7B" w:rsidRDefault="00C026BC" w:rsidP="00055D7B">
            <w:r>
              <w:t>Phytosanitäre Maßnahmen</w:t>
            </w:r>
          </w:p>
        </w:tc>
        <w:tc>
          <w:tcPr>
            <w:tcW w:w="6804" w:type="dxa"/>
          </w:tcPr>
          <w:p w14:paraId="23086C71" w14:textId="0C283749" w:rsidR="00055D7B" w:rsidRPr="00C73FAF" w:rsidRDefault="00C026BC" w:rsidP="00C026BC">
            <w:pPr>
              <w:jc w:val="both"/>
            </w:pPr>
            <w:r>
              <w:t>Es ist ein geeignetes, auf die Experimentalpflanzen abgestimmtes Programm zur erfolgreichen Bekämpfung</w:t>
            </w:r>
            <w:r>
              <w:t xml:space="preserve"> </w:t>
            </w:r>
            <w:r>
              <w:t>von Pflanzenkrankheiten, Unkräutern, Gliederfüßern und Nagetieren aufzustellen</w:t>
            </w:r>
          </w:p>
        </w:tc>
        <w:sdt>
          <w:sdtPr>
            <w:id w:val="1053808917"/>
            <w14:checkbox>
              <w14:checked w14:val="0"/>
              <w14:checkedState w14:val="2612" w14:font="MS Gothic"/>
              <w14:uncheckedState w14:val="2610" w14:font="MS Gothic"/>
            </w14:checkbox>
          </w:sdtPr>
          <w:sdtEndPr/>
          <w:sdtContent>
            <w:tc>
              <w:tcPr>
                <w:tcW w:w="426" w:type="dxa"/>
                <w:vAlign w:val="center"/>
              </w:tcPr>
              <w:p w14:paraId="1534F1DC" w14:textId="77777777" w:rsidR="00055D7B" w:rsidRDefault="00055D7B" w:rsidP="00055D7B">
                <w:pPr>
                  <w:jc w:val="center"/>
                </w:pPr>
                <w:r>
                  <w:rPr>
                    <w:rFonts w:ascii="MS Gothic" w:eastAsia="MS Gothic" w:hAnsi="MS Gothic" w:hint="eastAsia"/>
                  </w:rPr>
                  <w:t>☐</w:t>
                </w:r>
              </w:p>
            </w:tc>
          </w:sdtContent>
        </w:sdt>
        <w:sdt>
          <w:sdtPr>
            <w:id w:val="1883901737"/>
            <w14:checkbox>
              <w14:checked w14:val="0"/>
              <w14:checkedState w14:val="2612" w14:font="MS Gothic"/>
              <w14:uncheckedState w14:val="2610" w14:font="MS Gothic"/>
            </w14:checkbox>
          </w:sdtPr>
          <w:sdtEndPr/>
          <w:sdtContent>
            <w:tc>
              <w:tcPr>
                <w:tcW w:w="425" w:type="dxa"/>
                <w:vAlign w:val="center"/>
              </w:tcPr>
              <w:p w14:paraId="2B2F515A" w14:textId="77777777" w:rsidR="00055D7B" w:rsidRDefault="00055D7B" w:rsidP="00055D7B">
                <w:pPr>
                  <w:jc w:val="center"/>
                </w:pPr>
                <w:r>
                  <w:rPr>
                    <w:rFonts w:ascii="MS Gothic" w:eastAsia="MS Gothic" w:hAnsi="MS Gothic" w:hint="eastAsia"/>
                  </w:rPr>
                  <w:t>☐</w:t>
                </w:r>
              </w:p>
            </w:tc>
          </w:sdtContent>
        </w:sdt>
        <w:sdt>
          <w:sdtPr>
            <w:id w:val="-708260878"/>
            <w14:checkbox>
              <w14:checked w14:val="0"/>
              <w14:checkedState w14:val="2612" w14:font="MS Gothic"/>
              <w14:uncheckedState w14:val="2610" w14:font="MS Gothic"/>
            </w14:checkbox>
          </w:sdtPr>
          <w:sdtEndPr/>
          <w:sdtContent>
            <w:tc>
              <w:tcPr>
                <w:tcW w:w="567" w:type="dxa"/>
                <w:vAlign w:val="center"/>
              </w:tcPr>
              <w:p w14:paraId="5150A7A9" w14:textId="77777777" w:rsidR="00055D7B" w:rsidRDefault="00055D7B" w:rsidP="00055D7B">
                <w:pPr>
                  <w:jc w:val="center"/>
                </w:pPr>
                <w:r>
                  <w:rPr>
                    <w:rFonts w:ascii="MS Gothic" w:eastAsia="MS Gothic" w:hAnsi="MS Gothic" w:hint="eastAsia"/>
                  </w:rPr>
                  <w:t>☐</w:t>
                </w:r>
              </w:p>
            </w:tc>
          </w:sdtContent>
        </w:sdt>
        <w:tc>
          <w:tcPr>
            <w:tcW w:w="2693" w:type="dxa"/>
            <w:vAlign w:val="center"/>
          </w:tcPr>
          <w:p w14:paraId="1E3CE08E" w14:textId="77777777" w:rsidR="00055D7B" w:rsidRDefault="00055D7B" w:rsidP="00055D7B"/>
        </w:tc>
        <w:tc>
          <w:tcPr>
            <w:tcW w:w="2268" w:type="dxa"/>
          </w:tcPr>
          <w:p w14:paraId="207F591E" w14:textId="77777777" w:rsidR="00055D7B" w:rsidRDefault="00055D7B" w:rsidP="00055D7B"/>
        </w:tc>
      </w:tr>
      <w:tr w:rsidR="00055D7B" w14:paraId="6329E44F" w14:textId="77777777" w:rsidTr="002C3E00">
        <w:tc>
          <w:tcPr>
            <w:tcW w:w="2155" w:type="dxa"/>
            <w:vAlign w:val="center"/>
          </w:tcPr>
          <w:p w14:paraId="6DD71B47" w14:textId="780B9D81" w:rsidR="00055D7B" w:rsidRDefault="00C026BC" w:rsidP="00055D7B">
            <w:r>
              <w:t>Austrag GVO</w:t>
            </w:r>
          </w:p>
        </w:tc>
        <w:tc>
          <w:tcPr>
            <w:tcW w:w="6804" w:type="dxa"/>
          </w:tcPr>
          <w:p w14:paraId="703E5DA3" w14:textId="429F3460" w:rsidR="00055D7B" w:rsidRPr="00EB7620" w:rsidRDefault="00C026BC" w:rsidP="00C026BC">
            <w:pPr>
              <w:jc w:val="both"/>
            </w:pPr>
            <w:r>
              <w:t xml:space="preserve">Der Austrag von </w:t>
            </w:r>
            <w:r>
              <w:t>GVO</w:t>
            </w:r>
            <w:r>
              <w:t xml:space="preserve"> aus dem Gewächshaus ist durch geeignete</w:t>
            </w:r>
            <w:r>
              <w:t xml:space="preserve"> </w:t>
            </w:r>
            <w:r>
              <w:t>Maßnahmen auf das geringstmögliche Maß zu reduzieren.</w:t>
            </w:r>
          </w:p>
        </w:tc>
        <w:sdt>
          <w:sdtPr>
            <w:id w:val="-1787728706"/>
            <w14:checkbox>
              <w14:checked w14:val="0"/>
              <w14:checkedState w14:val="2612" w14:font="MS Gothic"/>
              <w14:uncheckedState w14:val="2610" w14:font="MS Gothic"/>
            </w14:checkbox>
          </w:sdtPr>
          <w:sdtEndPr/>
          <w:sdtContent>
            <w:tc>
              <w:tcPr>
                <w:tcW w:w="426" w:type="dxa"/>
                <w:vAlign w:val="center"/>
              </w:tcPr>
              <w:p w14:paraId="239B3751" w14:textId="77777777" w:rsidR="00055D7B" w:rsidRDefault="00055D7B" w:rsidP="00055D7B">
                <w:pPr>
                  <w:jc w:val="center"/>
                </w:pPr>
                <w:r>
                  <w:rPr>
                    <w:rFonts w:ascii="MS Gothic" w:eastAsia="MS Gothic" w:hAnsi="MS Gothic" w:hint="eastAsia"/>
                  </w:rPr>
                  <w:t>☐</w:t>
                </w:r>
              </w:p>
            </w:tc>
          </w:sdtContent>
        </w:sdt>
        <w:sdt>
          <w:sdtPr>
            <w:id w:val="1992129638"/>
            <w14:checkbox>
              <w14:checked w14:val="0"/>
              <w14:checkedState w14:val="2612" w14:font="MS Gothic"/>
              <w14:uncheckedState w14:val="2610" w14:font="MS Gothic"/>
            </w14:checkbox>
          </w:sdtPr>
          <w:sdtEndPr/>
          <w:sdtContent>
            <w:tc>
              <w:tcPr>
                <w:tcW w:w="425" w:type="dxa"/>
                <w:vAlign w:val="center"/>
              </w:tcPr>
              <w:p w14:paraId="14A5F712" w14:textId="77777777" w:rsidR="00055D7B" w:rsidRDefault="00055D7B" w:rsidP="00055D7B">
                <w:pPr>
                  <w:jc w:val="center"/>
                </w:pPr>
                <w:r>
                  <w:rPr>
                    <w:rFonts w:ascii="MS Gothic" w:eastAsia="MS Gothic" w:hAnsi="MS Gothic" w:hint="eastAsia"/>
                  </w:rPr>
                  <w:t>☐</w:t>
                </w:r>
              </w:p>
            </w:tc>
          </w:sdtContent>
        </w:sdt>
        <w:sdt>
          <w:sdtPr>
            <w:id w:val="-1445305027"/>
            <w14:checkbox>
              <w14:checked w14:val="0"/>
              <w14:checkedState w14:val="2612" w14:font="MS Gothic"/>
              <w14:uncheckedState w14:val="2610" w14:font="MS Gothic"/>
            </w14:checkbox>
          </w:sdtPr>
          <w:sdtEndPr/>
          <w:sdtContent>
            <w:tc>
              <w:tcPr>
                <w:tcW w:w="567" w:type="dxa"/>
                <w:vAlign w:val="center"/>
              </w:tcPr>
              <w:p w14:paraId="3E041C72" w14:textId="77777777" w:rsidR="00055D7B" w:rsidRDefault="00055D7B" w:rsidP="00055D7B">
                <w:pPr>
                  <w:jc w:val="center"/>
                </w:pPr>
                <w:r>
                  <w:rPr>
                    <w:rFonts w:ascii="MS Gothic" w:eastAsia="MS Gothic" w:hAnsi="MS Gothic" w:hint="eastAsia"/>
                  </w:rPr>
                  <w:t>☐</w:t>
                </w:r>
              </w:p>
            </w:tc>
          </w:sdtContent>
        </w:sdt>
        <w:tc>
          <w:tcPr>
            <w:tcW w:w="2693" w:type="dxa"/>
            <w:vAlign w:val="center"/>
          </w:tcPr>
          <w:p w14:paraId="3EC41004" w14:textId="77777777" w:rsidR="00055D7B" w:rsidRDefault="00055D7B" w:rsidP="00055D7B"/>
        </w:tc>
        <w:tc>
          <w:tcPr>
            <w:tcW w:w="2268" w:type="dxa"/>
          </w:tcPr>
          <w:p w14:paraId="02A731B0" w14:textId="77777777" w:rsidR="00055D7B" w:rsidRDefault="00055D7B" w:rsidP="00055D7B"/>
        </w:tc>
      </w:tr>
      <w:tr w:rsidR="003C22FE" w14:paraId="76754E67" w14:textId="77777777" w:rsidTr="002C3E00">
        <w:trPr>
          <w:trHeight w:val="896"/>
        </w:trPr>
        <w:tc>
          <w:tcPr>
            <w:tcW w:w="2155" w:type="dxa"/>
            <w:vAlign w:val="center"/>
          </w:tcPr>
          <w:p w14:paraId="24B8103E" w14:textId="77777777" w:rsidR="003C22FE" w:rsidRDefault="003C22FE" w:rsidP="003C22FE">
            <w:r>
              <w:t>Kontrolle von GVOs</w:t>
            </w:r>
          </w:p>
        </w:tc>
        <w:tc>
          <w:tcPr>
            <w:tcW w:w="6804" w:type="dxa"/>
          </w:tcPr>
          <w:p w14:paraId="4453E17B" w14:textId="395EE257" w:rsidR="003C22FE" w:rsidRDefault="00C026BC" w:rsidP="00C026BC">
            <w:pPr>
              <w:jc w:val="both"/>
            </w:pPr>
            <w:r>
              <w:t>Pflanzen müssen leicht und insbesondere bezüglich ihrer gentechnischen Veränderung bzw. bezüglich</w:t>
            </w:r>
            <w:r>
              <w:t xml:space="preserve"> </w:t>
            </w:r>
            <w:r>
              <w:t>der zugeordneten gentechnischen Arbeit zu identifizieren sein</w:t>
            </w:r>
            <w:r w:rsidR="003C22FE">
              <w:t>.</w:t>
            </w:r>
          </w:p>
        </w:tc>
        <w:tc>
          <w:tcPr>
            <w:tcW w:w="426" w:type="dxa"/>
            <w:vAlign w:val="center"/>
          </w:tcPr>
          <w:sdt>
            <w:sdtPr>
              <w:id w:val="1702049524"/>
              <w14:checkbox>
                <w14:checked w14:val="0"/>
                <w14:checkedState w14:val="2612" w14:font="MS Gothic"/>
                <w14:uncheckedState w14:val="2610" w14:font="MS Gothic"/>
              </w14:checkbox>
            </w:sdtPr>
            <w:sdtEndPr/>
            <w:sdtContent>
              <w:p w14:paraId="60FE060C" w14:textId="77777777" w:rsidR="003C22FE" w:rsidRDefault="003C22FE" w:rsidP="003C22FE">
                <w:pPr>
                  <w:jc w:val="center"/>
                </w:pPr>
                <w:r>
                  <w:rPr>
                    <w:rFonts w:ascii="MS Gothic" w:eastAsia="MS Gothic" w:hAnsi="MS Gothic" w:hint="eastAsia"/>
                  </w:rPr>
                  <w:t>☐</w:t>
                </w:r>
              </w:p>
            </w:sdtContent>
          </w:sdt>
        </w:tc>
        <w:tc>
          <w:tcPr>
            <w:tcW w:w="425" w:type="dxa"/>
            <w:vAlign w:val="center"/>
          </w:tcPr>
          <w:sdt>
            <w:sdtPr>
              <w:id w:val="-1084448610"/>
              <w14:checkbox>
                <w14:checked w14:val="0"/>
                <w14:checkedState w14:val="2612" w14:font="MS Gothic"/>
                <w14:uncheckedState w14:val="2610" w14:font="MS Gothic"/>
              </w14:checkbox>
            </w:sdtPr>
            <w:sdtEndPr/>
            <w:sdtContent>
              <w:p w14:paraId="0C3AD673" w14:textId="77777777" w:rsidR="003C22FE" w:rsidRDefault="003C22FE" w:rsidP="003C22FE">
                <w:pPr>
                  <w:jc w:val="center"/>
                </w:pPr>
                <w:r>
                  <w:rPr>
                    <w:rFonts w:ascii="MS Gothic" w:eastAsia="MS Gothic" w:hAnsi="MS Gothic" w:hint="eastAsia"/>
                  </w:rPr>
                  <w:t>☐</w:t>
                </w:r>
              </w:p>
            </w:sdtContent>
          </w:sdt>
        </w:tc>
        <w:tc>
          <w:tcPr>
            <w:tcW w:w="567" w:type="dxa"/>
            <w:vAlign w:val="center"/>
          </w:tcPr>
          <w:sdt>
            <w:sdtPr>
              <w:id w:val="1042097315"/>
              <w14:checkbox>
                <w14:checked w14:val="0"/>
                <w14:checkedState w14:val="2612" w14:font="MS Gothic"/>
                <w14:uncheckedState w14:val="2610" w14:font="MS Gothic"/>
              </w14:checkbox>
            </w:sdtPr>
            <w:sdtEndPr/>
            <w:sdtContent>
              <w:p w14:paraId="4841B652" w14:textId="77777777" w:rsidR="003C22FE" w:rsidRDefault="003C22FE" w:rsidP="003C22FE">
                <w:pPr>
                  <w:jc w:val="center"/>
                </w:pPr>
                <w:r>
                  <w:rPr>
                    <w:rFonts w:ascii="MS Gothic" w:eastAsia="MS Gothic" w:hAnsi="MS Gothic" w:hint="eastAsia"/>
                  </w:rPr>
                  <w:t>☐</w:t>
                </w:r>
              </w:p>
            </w:sdtContent>
          </w:sdt>
        </w:tc>
        <w:tc>
          <w:tcPr>
            <w:tcW w:w="2693" w:type="dxa"/>
            <w:vAlign w:val="center"/>
          </w:tcPr>
          <w:p w14:paraId="1BFC38A4" w14:textId="77777777" w:rsidR="003C22FE" w:rsidRDefault="003C22FE" w:rsidP="003C22FE"/>
        </w:tc>
        <w:tc>
          <w:tcPr>
            <w:tcW w:w="2268" w:type="dxa"/>
          </w:tcPr>
          <w:p w14:paraId="36159EAE" w14:textId="77777777" w:rsidR="003C22FE" w:rsidRDefault="003C22FE" w:rsidP="003C22FE"/>
        </w:tc>
      </w:tr>
      <w:tr w:rsidR="003C22FE" w14:paraId="36967C50" w14:textId="77777777" w:rsidTr="002C3E00">
        <w:tc>
          <w:tcPr>
            <w:tcW w:w="2155" w:type="dxa"/>
            <w:vAlign w:val="center"/>
          </w:tcPr>
          <w:p w14:paraId="2CE8C17D" w14:textId="77777777" w:rsidR="003C22FE" w:rsidRDefault="003C22FE" w:rsidP="003C22FE">
            <w:pPr>
              <w:spacing w:after="120"/>
            </w:pPr>
            <w:r>
              <w:t>Aufzeichnungen</w:t>
            </w:r>
          </w:p>
          <w:p w14:paraId="7853A4C2" w14:textId="77777777" w:rsidR="003C22FE" w:rsidRDefault="001A6D81" w:rsidP="003C22FE">
            <w:hyperlink r:id="rId8" w:history="1">
              <w:r w:rsidR="003C22FE" w:rsidRPr="00E865DE">
                <w:rPr>
                  <w:rStyle w:val="Hyperlink"/>
                </w:rPr>
                <w:t>Info Link</w:t>
              </w:r>
            </w:hyperlink>
          </w:p>
        </w:tc>
        <w:tc>
          <w:tcPr>
            <w:tcW w:w="6804" w:type="dxa"/>
          </w:tcPr>
          <w:p w14:paraId="3BE4AA33" w14:textId="77777777" w:rsidR="003C22FE" w:rsidRDefault="003C22FE" w:rsidP="003C22FE">
            <w:pPr>
              <w:jc w:val="both"/>
            </w:pPr>
            <w:r>
              <w:t xml:space="preserve">Über gentechnische Arbeiten </w:t>
            </w:r>
            <w:r w:rsidRPr="00AC3645">
              <w:rPr>
                <w:b/>
              </w:rPr>
              <w:t>müssen</w:t>
            </w:r>
            <w:r>
              <w:t xml:space="preserve"> Aufzeichnungen geführt werden. Inhalt und Form werden durch die GenTAufzV geregelt. Aufbewahrungspflicht für S1: 10 Jahre. </w:t>
            </w:r>
          </w:p>
        </w:tc>
        <w:sdt>
          <w:sdtPr>
            <w:id w:val="1279142559"/>
            <w14:checkbox>
              <w14:checked w14:val="0"/>
              <w14:checkedState w14:val="2612" w14:font="MS Gothic"/>
              <w14:uncheckedState w14:val="2610" w14:font="MS Gothic"/>
            </w14:checkbox>
          </w:sdtPr>
          <w:sdtEndPr/>
          <w:sdtContent>
            <w:tc>
              <w:tcPr>
                <w:tcW w:w="426" w:type="dxa"/>
                <w:vAlign w:val="center"/>
              </w:tcPr>
              <w:p w14:paraId="4E624CF4" w14:textId="77777777" w:rsidR="003C22FE" w:rsidRDefault="003C22FE" w:rsidP="003C22FE">
                <w:pPr>
                  <w:jc w:val="center"/>
                </w:pPr>
                <w:r>
                  <w:rPr>
                    <w:rFonts w:ascii="MS Gothic" w:eastAsia="MS Gothic" w:hAnsi="MS Gothic" w:hint="eastAsia"/>
                  </w:rPr>
                  <w:t>☐</w:t>
                </w:r>
              </w:p>
            </w:tc>
          </w:sdtContent>
        </w:sdt>
        <w:sdt>
          <w:sdtPr>
            <w:id w:val="170767192"/>
            <w14:checkbox>
              <w14:checked w14:val="0"/>
              <w14:checkedState w14:val="2612" w14:font="MS Gothic"/>
              <w14:uncheckedState w14:val="2610" w14:font="MS Gothic"/>
            </w14:checkbox>
          </w:sdtPr>
          <w:sdtEndPr/>
          <w:sdtContent>
            <w:tc>
              <w:tcPr>
                <w:tcW w:w="425" w:type="dxa"/>
                <w:vAlign w:val="center"/>
              </w:tcPr>
              <w:p w14:paraId="2C2F1218" w14:textId="77777777" w:rsidR="003C22FE" w:rsidRDefault="003C22FE" w:rsidP="003C22FE">
                <w:pPr>
                  <w:jc w:val="center"/>
                </w:pPr>
                <w:r>
                  <w:rPr>
                    <w:rFonts w:ascii="MS Gothic" w:eastAsia="MS Gothic" w:hAnsi="MS Gothic" w:hint="eastAsia"/>
                  </w:rPr>
                  <w:t>☐</w:t>
                </w:r>
              </w:p>
            </w:tc>
          </w:sdtContent>
        </w:sdt>
        <w:sdt>
          <w:sdtPr>
            <w:id w:val="-1492560775"/>
            <w14:checkbox>
              <w14:checked w14:val="0"/>
              <w14:checkedState w14:val="2612" w14:font="MS Gothic"/>
              <w14:uncheckedState w14:val="2610" w14:font="MS Gothic"/>
            </w14:checkbox>
          </w:sdtPr>
          <w:sdtEndPr/>
          <w:sdtContent>
            <w:tc>
              <w:tcPr>
                <w:tcW w:w="567" w:type="dxa"/>
                <w:vAlign w:val="center"/>
              </w:tcPr>
              <w:p w14:paraId="24D5FA50" w14:textId="77777777" w:rsidR="003C22FE" w:rsidRDefault="003C22FE" w:rsidP="003C22FE">
                <w:pPr>
                  <w:jc w:val="center"/>
                </w:pPr>
                <w:r>
                  <w:rPr>
                    <w:rFonts w:ascii="MS Gothic" w:eastAsia="MS Gothic" w:hAnsi="MS Gothic" w:hint="eastAsia"/>
                  </w:rPr>
                  <w:t>☐</w:t>
                </w:r>
              </w:p>
            </w:tc>
          </w:sdtContent>
        </w:sdt>
        <w:tc>
          <w:tcPr>
            <w:tcW w:w="2693" w:type="dxa"/>
            <w:vAlign w:val="center"/>
          </w:tcPr>
          <w:p w14:paraId="3FF08F80" w14:textId="77777777" w:rsidR="003C22FE" w:rsidRDefault="003C22FE" w:rsidP="003C22FE"/>
        </w:tc>
        <w:tc>
          <w:tcPr>
            <w:tcW w:w="2268" w:type="dxa"/>
          </w:tcPr>
          <w:p w14:paraId="0ABE036F" w14:textId="77777777" w:rsidR="003C22FE" w:rsidRDefault="003C22FE" w:rsidP="003C22FE"/>
        </w:tc>
      </w:tr>
      <w:tr w:rsidR="003C22FE" w14:paraId="07D4F981" w14:textId="77777777" w:rsidTr="002C3E00">
        <w:tc>
          <w:tcPr>
            <w:tcW w:w="2155" w:type="dxa"/>
            <w:vAlign w:val="center"/>
          </w:tcPr>
          <w:p w14:paraId="462BCB60" w14:textId="77777777" w:rsidR="003C22FE" w:rsidRDefault="003C22FE" w:rsidP="003C22FE">
            <w:r>
              <w:t>Unterweisungen</w:t>
            </w:r>
          </w:p>
        </w:tc>
        <w:tc>
          <w:tcPr>
            <w:tcW w:w="6804" w:type="dxa"/>
          </w:tcPr>
          <w:p w14:paraId="1925F233" w14:textId="77777777" w:rsidR="003C22FE" w:rsidRDefault="003C22FE" w:rsidP="003C22FE">
            <w:pPr>
              <w:jc w:val="both"/>
            </w:pPr>
            <w:r>
              <w:t xml:space="preserve">Beschäftigte </w:t>
            </w:r>
            <w:r w:rsidRPr="00442768">
              <w:rPr>
                <w:b/>
              </w:rPr>
              <w:t>müssen</w:t>
            </w:r>
            <w:r>
              <w:t xml:space="preserve"> bei </w:t>
            </w:r>
            <w:r w:rsidRPr="00077260">
              <w:rPr>
                <w:u w:val="single"/>
              </w:rPr>
              <w:t>Arbeitsantritt</w:t>
            </w:r>
            <w:r>
              <w:t xml:space="preserve"> und dann </w:t>
            </w:r>
            <w:r w:rsidRPr="00077260">
              <w:rPr>
                <w:u w:val="single"/>
              </w:rPr>
              <w:t>jährlich</w:t>
            </w:r>
            <w:r>
              <w:t xml:space="preserve"> anhand der Betriebsanweisung unterwiesen werden. </w:t>
            </w:r>
            <w:r w:rsidRPr="00077260">
              <w:t xml:space="preserve">Inhalt </w:t>
            </w:r>
            <w:r w:rsidRPr="00C64AE0">
              <w:t xml:space="preserve">und Zeitpunkt der Unterweisungen sind </w:t>
            </w:r>
            <w:r w:rsidRPr="00D01200">
              <w:rPr>
                <w:b/>
              </w:rPr>
              <w:t>schriftlich</w:t>
            </w:r>
            <w:r w:rsidRPr="00C64AE0">
              <w:t xml:space="preserve"> festzuhalten und von den Unterwiesenen d</w:t>
            </w:r>
            <w:r>
              <w:t xml:space="preserve">urch </w:t>
            </w:r>
            <w:r w:rsidRPr="00D01200">
              <w:rPr>
                <w:b/>
              </w:rPr>
              <w:t>Unterschrift</w:t>
            </w:r>
            <w:r>
              <w:t xml:space="preserve"> zu bestätigen.</w:t>
            </w:r>
          </w:p>
        </w:tc>
        <w:sdt>
          <w:sdtPr>
            <w:id w:val="1631510197"/>
            <w14:checkbox>
              <w14:checked w14:val="0"/>
              <w14:checkedState w14:val="2612" w14:font="MS Gothic"/>
              <w14:uncheckedState w14:val="2610" w14:font="MS Gothic"/>
            </w14:checkbox>
          </w:sdtPr>
          <w:sdtEndPr/>
          <w:sdtContent>
            <w:tc>
              <w:tcPr>
                <w:tcW w:w="426" w:type="dxa"/>
                <w:vAlign w:val="center"/>
              </w:tcPr>
              <w:p w14:paraId="5FC95D93" w14:textId="77777777" w:rsidR="003C22FE" w:rsidRDefault="003C22FE" w:rsidP="003C22FE">
                <w:pPr>
                  <w:jc w:val="center"/>
                </w:pPr>
                <w:r>
                  <w:rPr>
                    <w:rFonts w:ascii="MS Gothic" w:eastAsia="MS Gothic" w:hAnsi="MS Gothic" w:hint="eastAsia"/>
                  </w:rPr>
                  <w:t>☐</w:t>
                </w:r>
              </w:p>
            </w:tc>
          </w:sdtContent>
        </w:sdt>
        <w:sdt>
          <w:sdtPr>
            <w:id w:val="-276800008"/>
            <w14:checkbox>
              <w14:checked w14:val="0"/>
              <w14:checkedState w14:val="2612" w14:font="MS Gothic"/>
              <w14:uncheckedState w14:val="2610" w14:font="MS Gothic"/>
            </w14:checkbox>
          </w:sdtPr>
          <w:sdtEndPr/>
          <w:sdtContent>
            <w:tc>
              <w:tcPr>
                <w:tcW w:w="425" w:type="dxa"/>
                <w:vAlign w:val="center"/>
              </w:tcPr>
              <w:p w14:paraId="4B17C271" w14:textId="77777777" w:rsidR="003C22FE" w:rsidRDefault="003C22FE" w:rsidP="003C22FE">
                <w:pPr>
                  <w:jc w:val="center"/>
                </w:pPr>
                <w:r>
                  <w:rPr>
                    <w:rFonts w:ascii="MS Gothic" w:eastAsia="MS Gothic" w:hAnsi="MS Gothic" w:hint="eastAsia"/>
                  </w:rPr>
                  <w:t>☐</w:t>
                </w:r>
              </w:p>
            </w:tc>
          </w:sdtContent>
        </w:sdt>
        <w:sdt>
          <w:sdtPr>
            <w:id w:val="1476799740"/>
            <w14:checkbox>
              <w14:checked w14:val="0"/>
              <w14:checkedState w14:val="2612" w14:font="MS Gothic"/>
              <w14:uncheckedState w14:val="2610" w14:font="MS Gothic"/>
            </w14:checkbox>
          </w:sdtPr>
          <w:sdtEndPr/>
          <w:sdtContent>
            <w:tc>
              <w:tcPr>
                <w:tcW w:w="567" w:type="dxa"/>
                <w:vAlign w:val="center"/>
              </w:tcPr>
              <w:p w14:paraId="698B546C" w14:textId="77777777" w:rsidR="003C22FE" w:rsidRDefault="003C22FE" w:rsidP="003C22FE">
                <w:pPr>
                  <w:jc w:val="center"/>
                </w:pPr>
                <w:r>
                  <w:rPr>
                    <w:rFonts w:ascii="MS Gothic" w:eastAsia="MS Gothic" w:hAnsi="MS Gothic" w:hint="eastAsia"/>
                  </w:rPr>
                  <w:t>☐</w:t>
                </w:r>
              </w:p>
            </w:tc>
          </w:sdtContent>
        </w:sdt>
        <w:tc>
          <w:tcPr>
            <w:tcW w:w="2693" w:type="dxa"/>
            <w:vAlign w:val="center"/>
          </w:tcPr>
          <w:p w14:paraId="2132983D" w14:textId="77777777" w:rsidR="003C22FE" w:rsidRDefault="003C22FE" w:rsidP="003C22FE"/>
        </w:tc>
        <w:tc>
          <w:tcPr>
            <w:tcW w:w="2268" w:type="dxa"/>
          </w:tcPr>
          <w:p w14:paraId="2D07304E" w14:textId="77777777" w:rsidR="003C22FE" w:rsidRDefault="003C22FE" w:rsidP="003C22FE"/>
        </w:tc>
      </w:tr>
      <w:tr w:rsidR="002C3E00" w14:paraId="7946AE83" w14:textId="77777777" w:rsidTr="002C3E00">
        <w:tc>
          <w:tcPr>
            <w:tcW w:w="2155" w:type="dxa"/>
            <w:vMerge w:val="restart"/>
            <w:vAlign w:val="center"/>
          </w:tcPr>
          <w:p w14:paraId="123B3343" w14:textId="76E47641" w:rsidR="002C3E00" w:rsidRDefault="002C3E00" w:rsidP="003C22FE">
            <w:r>
              <w:t>Allgemeines</w:t>
            </w:r>
          </w:p>
        </w:tc>
        <w:tc>
          <w:tcPr>
            <w:tcW w:w="6804" w:type="dxa"/>
          </w:tcPr>
          <w:p w14:paraId="042A536E" w14:textId="4B92F21E" w:rsidR="002C3E00" w:rsidRDefault="002C3E00" w:rsidP="003C22FE">
            <w:pPr>
              <w:jc w:val="both"/>
            </w:pPr>
            <w:r w:rsidRPr="002C3E00">
              <w:t>Nahrungs- und Genussmittel sowie Kosmetika dürfen in Arbeitsräumen nicht aufbewahrt werden</w:t>
            </w:r>
            <w:r>
              <w:t>-</w:t>
            </w:r>
          </w:p>
        </w:tc>
        <w:sdt>
          <w:sdtPr>
            <w:id w:val="1517416912"/>
            <w14:checkbox>
              <w14:checked w14:val="0"/>
              <w14:checkedState w14:val="2612" w14:font="MS Gothic"/>
              <w14:uncheckedState w14:val="2610" w14:font="MS Gothic"/>
            </w14:checkbox>
          </w:sdtPr>
          <w:sdtContent>
            <w:tc>
              <w:tcPr>
                <w:tcW w:w="426" w:type="dxa"/>
                <w:vAlign w:val="center"/>
              </w:tcPr>
              <w:p w14:paraId="66CF5E61" w14:textId="0B967E1A" w:rsidR="002C3E00" w:rsidRDefault="002C3E00" w:rsidP="003C22FE">
                <w:pPr>
                  <w:jc w:val="center"/>
                </w:pPr>
                <w:r>
                  <w:rPr>
                    <w:rFonts w:ascii="MS Gothic" w:eastAsia="MS Gothic" w:hAnsi="MS Gothic" w:hint="eastAsia"/>
                  </w:rPr>
                  <w:t>☐</w:t>
                </w:r>
              </w:p>
            </w:tc>
          </w:sdtContent>
        </w:sdt>
        <w:sdt>
          <w:sdtPr>
            <w:id w:val="1060748782"/>
            <w14:checkbox>
              <w14:checked w14:val="0"/>
              <w14:checkedState w14:val="2612" w14:font="MS Gothic"/>
              <w14:uncheckedState w14:val="2610" w14:font="MS Gothic"/>
            </w14:checkbox>
          </w:sdtPr>
          <w:sdtContent>
            <w:tc>
              <w:tcPr>
                <w:tcW w:w="425" w:type="dxa"/>
                <w:vAlign w:val="center"/>
              </w:tcPr>
              <w:p w14:paraId="3C648AA7" w14:textId="548CE9C1" w:rsidR="002C3E00" w:rsidRDefault="002C3E00" w:rsidP="003C22FE">
                <w:pPr>
                  <w:jc w:val="center"/>
                </w:pPr>
                <w:r>
                  <w:rPr>
                    <w:rFonts w:ascii="MS Gothic" w:eastAsia="MS Gothic" w:hAnsi="MS Gothic" w:hint="eastAsia"/>
                  </w:rPr>
                  <w:t>☐</w:t>
                </w:r>
              </w:p>
            </w:tc>
          </w:sdtContent>
        </w:sdt>
        <w:sdt>
          <w:sdtPr>
            <w:id w:val="-2096230080"/>
            <w14:checkbox>
              <w14:checked w14:val="0"/>
              <w14:checkedState w14:val="2612" w14:font="MS Gothic"/>
              <w14:uncheckedState w14:val="2610" w14:font="MS Gothic"/>
            </w14:checkbox>
          </w:sdtPr>
          <w:sdtContent>
            <w:tc>
              <w:tcPr>
                <w:tcW w:w="567" w:type="dxa"/>
                <w:vAlign w:val="center"/>
              </w:tcPr>
              <w:p w14:paraId="7827F338" w14:textId="0289AF7D" w:rsidR="002C3E00" w:rsidRDefault="002C3E00" w:rsidP="003C22FE">
                <w:pPr>
                  <w:jc w:val="center"/>
                </w:pPr>
                <w:r>
                  <w:rPr>
                    <w:rFonts w:ascii="MS Gothic" w:eastAsia="MS Gothic" w:hAnsi="MS Gothic" w:hint="eastAsia"/>
                  </w:rPr>
                  <w:t>☐</w:t>
                </w:r>
              </w:p>
            </w:tc>
          </w:sdtContent>
        </w:sdt>
        <w:tc>
          <w:tcPr>
            <w:tcW w:w="2693" w:type="dxa"/>
            <w:vAlign w:val="center"/>
          </w:tcPr>
          <w:p w14:paraId="2FAAA148" w14:textId="77777777" w:rsidR="002C3E00" w:rsidRDefault="002C3E00" w:rsidP="003C22FE"/>
        </w:tc>
        <w:tc>
          <w:tcPr>
            <w:tcW w:w="2268" w:type="dxa"/>
          </w:tcPr>
          <w:p w14:paraId="3FFA1D66" w14:textId="77777777" w:rsidR="002C3E00" w:rsidRDefault="002C3E00" w:rsidP="003C22FE"/>
        </w:tc>
      </w:tr>
      <w:tr w:rsidR="002C3E00" w14:paraId="07F59675" w14:textId="77777777" w:rsidTr="002C3E00">
        <w:tc>
          <w:tcPr>
            <w:tcW w:w="2155" w:type="dxa"/>
            <w:vMerge/>
            <w:vAlign w:val="center"/>
          </w:tcPr>
          <w:p w14:paraId="2DB1325F" w14:textId="77777777" w:rsidR="002C3E00" w:rsidRDefault="002C3E00" w:rsidP="003C22FE"/>
        </w:tc>
        <w:tc>
          <w:tcPr>
            <w:tcW w:w="6804" w:type="dxa"/>
          </w:tcPr>
          <w:p w14:paraId="01E6290D" w14:textId="5439F54F" w:rsidR="002C3E00" w:rsidRPr="002C3E00" w:rsidRDefault="002C3E00" w:rsidP="003C22FE">
            <w:pPr>
              <w:jc w:val="both"/>
            </w:pPr>
            <w:r w:rsidRPr="002C3E00">
              <w:t>In Arbeitsräumen darf nicht gegessen, getrunken, geraucht oder sich geschminkt werden</w:t>
            </w:r>
            <w:r>
              <w:t>.</w:t>
            </w:r>
          </w:p>
        </w:tc>
        <w:sdt>
          <w:sdtPr>
            <w:id w:val="-1755352149"/>
            <w14:checkbox>
              <w14:checked w14:val="0"/>
              <w14:checkedState w14:val="2612" w14:font="MS Gothic"/>
              <w14:uncheckedState w14:val="2610" w14:font="MS Gothic"/>
            </w14:checkbox>
          </w:sdtPr>
          <w:sdtContent>
            <w:tc>
              <w:tcPr>
                <w:tcW w:w="426" w:type="dxa"/>
                <w:vAlign w:val="center"/>
              </w:tcPr>
              <w:p w14:paraId="75C19696" w14:textId="59B86A38" w:rsidR="002C3E00" w:rsidRDefault="002C3E00" w:rsidP="003C22FE">
                <w:pPr>
                  <w:jc w:val="center"/>
                </w:pPr>
                <w:r>
                  <w:rPr>
                    <w:rFonts w:ascii="MS Gothic" w:eastAsia="MS Gothic" w:hAnsi="MS Gothic" w:hint="eastAsia"/>
                  </w:rPr>
                  <w:t>☐</w:t>
                </w:r>
              </w:p>
            </w:tc>
          </w:sdtContent>
        </w:sdt>
        <w:sdt>
          <w:sdtPr>
            <w:id w:val="623426063"/>
            <w14:checkbox>
              <w14:checked w14:val="0"/>
              <w14:checkedState w14:val="2612" w14:font="MS Gothic"/>
              <w14:uncheckedState w14:val="2610" w14:font="MS Gothic"/>
            </w14:checkbox>
          </w:sdtPr>
          <w:sdtContent>
            <w:tc>
              <w:tcPr>
                <w:tcW w:w="425" w:type="dxa"/>
                <w:vAlign w:val="center"/>
              </w:tcPr>
              <w:p w14:paraId="1EBAE18C" w14:textId="1A94B8DD" w:rsidR="002C3E00" w:rsidRDefault="002C3E00" w:rsidP="003C22FE">
                <w:pPr>
                  <w:jc w:val="center"/>
                </w:pPr>
                <w:r>
                  <w:rPr>
                    <w:rFonts w:ascii="MS Gothic" w:eastAsia="MS Gothic" w:hAnsi="MS Gothic" w:hint="eastAsia"/>
                  </w:rPr>
                  <w:t>☐</w:t>
                </w:r>
              </w:p>
            </w:tc>
          </w:sdtContent>
        </w:sdt>
        <w:sdt>
          <w:sdtPr>
            <w:id w:val="561222344"/>
            <w14:checkbox>
              <w14:checked w14:val="0"/>
              <w14:checkedState w14:val="2612" w14:font="MS Gothic"/>
              <w14:uncheckedState w14:val="2610" w14:font="MS Gothic"/>
            </w14:checkbox>
          </w:sdtPr>
          <w:sdtContent>
            <w:tc>
              <w:tcPr>
                <w:tcW w:w="567" w:type="dxa"/>
                <w:vAlign w:val="center"/>
              </w:tcPr>
              <w:p w14:paraId="026B7561" w14:textId="2A388DBE" w:rsidR="002C3E00" w:rsidRDefault="002C3E00" w:rsidP="003C22FE">
                <w:pPr>
                  <w:jc w:val="center"/>
                </w:pPr>
                <w:r>
                  <w:rPr>
                    <w:rFonts w:ascii="MS Gothic" w:eastAsia="MS Gothic" w:hAnsi="MS Gothic" w:hint="eastAsia"/>
                  </w:rPr>
                  <w:t>☐</w:t>
                </w:r>
              </w:p>
            </w:tc>
          </w:sdtContent>
        </w:sdt>
        <w:tc>
          <w:tcPr>
            <w:tcW w:w="2693" w:type="dxa"/>
            <w:vAlign w:val="center"/>
          </w:tcPr>
          <w:p w14:paraId="6F82C295" w14:textId="77777777" w:rsidR="002C3E00" w:rsidRDefault="002C3E00" w:rsidP="003C22FE"/>
        </w:tc>
        <w:tc>
          <w:tcPr>
            <w:tcW w:w="2268" w:type="dxa"/>
          </w:tcPr>
          <w:p w14:paraId="066FBEC1" w14:textId="77777777" w:rsidR="002C3E00" w:rsidRDefault="002C3E00" w:rsidP="003C22FE"/>
        </w:tc>
      </w:tr>
      <w:tr w:rsidR="002C3E00" w14:paraId="7005E53A" w14:textId="77777777" w:rsidTr="002C3E00">
        <w:tc>
          <w:tcPr>
            <w:tcW w:w="2155" w:type="dxa"/>
            <w:vMerge/>
            <w:vAlign w:val="center"/>
          </w:tcPr>
          <w:p w14:paraId="60FC1524" w14:textId="77777777" w:rsidR="002C3E00" w:rsidRDefault="002C3E00" w:rsidP="003C22FE"/>
        </w:tc>
        <w:tc>
          <w:tcPr>
            <w:tcW w:w="6804" w:type="dxa"/>
          </w:tcPr>
          <w:p w14:paraId="41C3E756" w14:textId="324B51DA" w:rsidR="002C3E00" w:rsidRPr="002C3E00" w:rsidRDefault="002C3E00" w:rsidP="002C3E00">
            <w:pPr>
              <w:jc w:val="both"/>
            </w:pPr>
            <w:r>
              <w:t>Für die Beschäftigten sind Bereiche einzurichten, in denen sie ohne Beeinträchtigung ihrer Gesundheit</w:t>
            </w:r>
            <w:r>
              <w:t xml:space="preserve"> </w:t>
            </w:r>
            <w:r>
              <w:t>essen und trinken können.</w:t>
            </w:r>
          </w:p>
        </w:tc>
        <w:sdt>
          <w:sdtPr>
            <w:id w:val="1573011180"/>
            <w14:checkbox>
              <w14:checked w14:val="0"/>
              <w14:checkedState w14:val="2612" w14:font="MS Gothic"/>
              <w14:uncheckedState w14:val="2610" w14:font="MS Gothic"/>
            </w14:checkbox>
          </w:sdtPr>
          <w:sdtContent>
            <w:tc>
              <w:tcPr>
                <w:tcW w:w="426" w:type="dxa"/>
                <w:vAlign w:val="center"/>
              </w:tcPr>
              <w:p w14:paraId="138E9F3E" w14:textId="20FC6882" w:rsidR="002C3E00" w:rsidRDefault="002C3E00" w:rsidP="003C22FE">
                <w:pPr>
                  <w:jc w:val="center"/>
                </w:pPr>
                <w:r>
                  <w:rPr>
                    <w:rFonts w:ascii="MS Gothic" w:eastAsia="MS Gothic" w:hAnsi="MS Gothic" w:hint="eastAsia"/>
                  </w:rPr>
                  <w:t>☐</w:t>
                </w:r>
              </w:p>
            </w:tc>
          </w:sdtContent>
        </w:sdt>
        <w:sdt>
          <w:sdtPr>
            <w:id w:val="1858236629"/>
            <w14:checkbox>
              <w14:checked w14:val="0"/>
              <w14:checkedState w14:val="2612" w14:font="MS Gothic"/>
              <w14:uncheckedState w14:val="2610" w14:font="MS Gothic"/>
            </w14:checkbox>
          </w:sdtPr>
          <w:sdtContent>
            <w:tc>
              <w:tcPr>
                <w:tcW w:w="425" w:type="dxa"/>
                <w:vAlign w:val="center"/>
              </w:tcPr>
              <w:p w14:paraId="617FCE8F" w14:textId="77647D23" w:rsidR="002C3E00" w:rsidRDefault="002C3E00" w:rsidP="003C22FE">
                <w:pPr>
                  <w:jc w:val="center"/>
                </w:pPr>
                <w:r>
                  <w:rPr>
                    <w:rFonts w:ascii="MS Gothic" w:eastAsia="MS Gothic" w:hAnsi="MS Gothic" w:hint="eastAsia"/>
                  </w:rPr>
                  <w:t>☐</w:t>
                </w:r>
              </w:p>
            </w:tc>
          </w:sdtContent>
        </w:sdt>
        <w:sdt>
          <w:sdtPr>
            <w:id w:val="-1714652733"/>
            <w14:checkbox>
              <w14:checked w14:val="0"/>
              <w14:checkedState w14:val="2612" w14:font="MS Gothic"/>
              <w14:uncheckedState w14:val="2610" w14:font="MS Gothic"/>
            </w14:checkbox>
          </w:sdtPr>
          <w:sdtContent>
            <w:tc>
              <w:tcPr>
                <w:tcW w:w="567" w:type="dxa"/>
                <w:vAlign w:val="center"/>
              </w:tcPr>
              <w:p w14:paraId="7F243743" w14:textId="3F9659B4" w:rsidR="002C3E00" w:rsidRDefault="002C3E00" w:rsidP="003C22FE">
                <w:pPr>
                  <w:jc w:val="center"/>
                </w:pPr>
                <w:r>
                  <w:rPr>
                    <w:rFonts w:ascii="MS Gothic" w:eastAsia="MS Gothic" w:hAnsi="MS Gothic" w:hint="eastAsia"/>
                  </w:rPr>
                  <w:t>☐</w:t>
                </w:r>
              </w:p>
            </w:tc>
          </w:sdtContent>
        </w:sdt>
        <w:tc>
          <w:tcPr>
            <w:tcW w:w="2693" w:type="dxa"/>
            <w:vAlign w:val="center"/>
          </w:tcPr>
          <w:p w14:paraId="2B68F416" w14:textId="77777777" w:rsidR="002C3E00" w:rsidRDefault="002C3E00" w:rsidP="003C22FE"/>
        </w:tc>
        <w:tc>
          <w:tcPr>
            <w:tcW w:w="2268" w:type="dxa"/>
          </w:tcPr>
          <w:p w14:paraId="7468B573" w14:textId="77777777" w:rsidR="002C3E00" w:rsidRDefault="002C3E00" w:rsidP="003C22FE"/>
        </w:tc>
      </w:tr>
      <w:tr w:rsidR="002C3E00" w14:paraId="53AD5261" w14:textId="77777777" w:rsidTr="002C3E00">
        <w:tc>
          <w:tcPr>
            <w:tcW w:w="2155" w:type="dxa"/>
          </w:tcPr>
          <w:p w14:paraId="2F63B616" w14:textId="77777777" w:rsidR="002C3E00" w:rsidRDefault="002C3E00" w:rsidP="00BB22E8">
            <w:pPr>
              <w:ind w:left="33"/>
            </w:pPr>
            <w:r>
              <w:t>Verletzungen</w:t>
            </w:r>
          </w:p>
        </w:tc>
        <w:tc>
          <w:tcPr>
            <w:tcW w:w="6804" w:type="dxa"/>
          </w:tcPr>
          <w:p w14:paraId="1F4D499B" w14:textId="77777777" w:rsidR="002C3E00" w:rsidRPr="00EB7620" w:rsidRDefault="002C3E00" w:rsidP="00BB22E8">
            <w:pPr>
              <w:jc w:val="both"/>
            </w:pPr>
            <w:r>
              <w:t>Bei Verletzungen sind unverzüglich Erste-Hilfe-Maßnahmen einzuleiten. Der Projektleiter ist zu informieren und ggf. ist medizinische Hilfe in Anspruch zu nehmen. Besteht die Möglichkeit, dass gentechnisch veränderte Organismen aufgenommen wurden, oder erscheint eine Infektion mit gentechnisch veränderten Organismen möglich, sind der Projektleiter und ggf. der behandelnde Arzt darauf hinzuweisen.</w:t>
            </w:r>
          </w:p>
        </w:tc>
        <w:sdt>
          <w:sdtPr>
            <w:id w:val="1547262224"/>
            <w14:checkbox>
              <w14:checked w14:val="0"/>
              <w14:checkedState w14:val="2612" w14:font="MS Gothic"/>
              <w14:uncheckedState w14:val="2610" w14:font="MS Gothic"/>
            </w14:checkbox>
          </w:sdtPr>
          <w:sdtContent>
            <w:tc>
              <w:tcPr>
                <w:tcW w:w="426" w:type="dxa"/>
              </w:tcPr>
              <w:p w14:paraId="730D787A" w14:textId="77777777" w:rsidR="002C3E00" w:rsidRDefault="002C3E00" w:rsidP="00BB22E8">
                <w:pPr>
                  <w:jc w:val="center"/>
                </w:pPr>
                <w:r>
                  <w:rPr>
                    <w:rFonts w:ascii="MS Gothic" w:eastAsia="MS Gothic" w:hAnsi="MS Gothic" w:hint="eastAsia"/>
                  </w:rPr>
                  <w:t>☐</w:t>
                </w:r>
              </w:p>
            </w:tc>
          </w:sdtContent>
        </w:sdt>
        <w:sdt>
          <w:sdtPr>
            <w:id w:val="1618417185"/>
            <w14:checkbox>
              <w14:checked w14:val="0"/>
              <w14:checkedState w14:val="2612" w14:font="MS Gothic"/>
              <w14:uncheckedState w14:val="2610" w14:font="MS Gothic"/>
            </w14:checkbox>
          </w:sdtPr>
          <w:sdtContent>
            <w:tc>
              <w:tcPr>
                <w:tcW w:w="425" w:type="dxa"/>
              </w:tcPr>
              <w:p w14:paraId="66D3D0DC" w14:textId="77777777" w:rsidR="002C3E00" w:rsidRDefault="002C3E00" w:rsidP="00BB22E8">
                <w:pPr>
                  <w:jc w:val="center"/>
                </w:pPr>
                <w:r>
                  <w:rPr>
                    <w:rFonts w:ascii="MS Gothic" w:eastAsia="MS Gothic" w:hAnsi="MS Gothic" w:hint="eastAsia"/>
                  </w:rPr>
                  <w:t>☐</w:t>
                </w:r>
              </w:p>
            </w:tc>
          </w:sdtContent>
        </w:sdt>
        <w:sdt>
          <w:sdtPr>
            <w:id w:val="1202284074"/>
            <w14:checkbox>
              <w14:checked w14:val="0"/>
              <w14:checkedState w14:val="2612" w14:font="MS Gothic"/>
              <w14:uncheckedState w14:val="2610" w14:font="MS Gothic"/>
            </w14:checkbox>
          </w:sdtPr>
          <w:sdtContent>
            <w:tc>
              <w:tcPr>
                <w:tcW w:w="567" w:type="dxa"/>
              </w:tcPr>
              <w:p w14:paraId="67008187" w14:textId="77777777" w:rsidR="002C3E00" w:rsidRDefault="002C3E00" w:rsidP="00BB22E8">
                <w:pPr>
                  <w:jc w:val="center"/>
                </w:pPr>
                <w:r>
                  <w:rPr>
                    <w:rFonts w:ascii="MS Gothic" w:eastAsia="MS Gothic" w:hAnsi="MS Gothic" w:hint="eastAsia"/>
                  </w:rPr>
                  <w:t>☐</w:t>
                </w:r>
              </w:p>
            </w:tc>
          </w:sdtContent>
        </w:sdt>
        <w:tc>
          <w:tcPr>
            <w:tcW w:w="2693" w:type="dxa"/>
          </w:tcPr>
          <w:p w14:paraId="197610AE" w14:textId="77777777" w:rsidR="002C3E00" w:rsidRDefault="002C3E00" w:rsidP="00BB22E8"/>
        </w:tc>
        <w:tc>
          <w:tcPr>
            <w:tcW w:w="2268" w:type="dxa"/>
          </w:tcPr>
          <w:p w14:paraId="616AA79E" w14:textId="77777777" w:rsidR="002C3E00" w:rsidRDefault="002C3E00" w:rsidP="00BB22E8"/>
        </w:tc>
      </w:tr>
      <w:tr w:rsidR="003C22FE" w:rsidRPr="00F13B67" w14:paraId="79E87D89" w14:textId="77777777" w:rsidTr="002C3E00">
        <w:tc>
          <w:tcPr>
            <w:tcW w:w="15338" w:type="dxa"/>
            <w:gridSpan w:val="7"/>
            <w:shd w:val="clear" w:color="auto" w:fill="D9D9D9" w:themeFill="background1" w:themeFillShade="D9"/>
            <w:vAlign w:val="center"/>
          </w:tcPr>
          <w:p w14:paraId="23CFE748" w14:textId="1B75D20F" w:rsidR="003C22FE" w:rsidRPr="00122DED" w:rsidRDefault="002C3E00" w:rsidP="003C22FE">
            <w:pPr>
              <w:pStyle w:val="Listenabsatz"/>
              <w:ind w:left="360"/>
              <w:rPr>
                <w:b/>
              </w:rPr>
            </w:pPr>
            <w:r>
              <w:rPr>
                <w:b/>
              </w:rPr>
              <w:t xml:space="preserve">Betriebsanweisung und </w:t>
            </w:r>
            <w:r w:rsidR="003C22FE" w:rsidRPr="00122DED">
              <w:rPr>
                <w:b/>
              </w:rPr>
              <w:t>Hygiene</w:t>
            </w:r>
            <w:r w:rsidR="003C22FE">
              <w:rPr>
                <w:b/>
              </w:rPr>
              <w:t>plan</w:t>
            </w:r>
          </w:p>
        </w:tc>
      </w:tr>
      <w:tr w:rsidR="002C3E00" w14:paraId="29E467A4" w14:textId="77777777" w:rsidTr="002C3E00">
        <w:trPr>
          <w:trHeight w:val="672"/>
        </w:trPr>
        <w:tc>
          <w:tcPr>
            <w:tcW w:w="2155" w:type="dxa"/>
            <w:vMerge w:val="restart"/>
            <w:vAlign w:val="center"/>
          </w:tcPr>
          <w:p w14:paraId="2C492A35" w14:textId="77777777" w:rsidR="002C3E00" w:rsidRDefault="002C3E00" w:rsidP="002C3E00">
            <w:r>
              <w:t>Betriebsanweisung</w:t>
            </w:r>
          </w:p>
        </w:tc>
        <w:tc>
          <w:tcPr>
            <w:tcW w:w="6804" w:type="dxa"/>
          </w:tcPr>
          <w:p w14:paraId="0DE4F8A4" w14:textId="77777777" w:rsidR="002C3E00" w:rsidRPr="008A1C9E" w:rsidRDefault="002C3E00" w:rsidP="00BB22E8">
            <w:pPr>
              <w:pStyle w:val="Listenabsatz"/>
              <w:numPr>
                <w:ilvl w:val="0"/>
                <w:numId w:val="22"/>
              </w:numPr>
              <w:ind w:left="313"/>
              <w:jc w:val="both"/>
              <w:rPr>
                <w:sz w:val="18"/>
                <w:szCs w:val="18"/>
              </w:rPr>
            </w:pPr>
            <w:r>
              <w:t xml:space="preserve">Es </w:t>
            </w:r>
            <w:r w:rsidRPr="00735A8C">
              <w:rPr>
                <w:b/>
              </w:rPr>
              <w:t>muss</w:t>
            </w:r>
            <w:r>
              <w:t xml:space="preserve"> eine detaillierte S1 Labor-Betriebsanweisung erstellt und ausgehängt werden oder anderweitig </w:t>
            </w:r>
            <w:r w:rsidRPr="002310AB">
              <w:rPr>
                <w:u w:val="single"/>
              </w:rPr>
              <w:t>leicht</w:t>
            </w:r>
            <w:r>
              <w:t xml:space="preserve"> verfügbar sein. </w:t>
            </w:r>
            <w:r w:rsidRPr="008A1C9E">
              <w:rPr>
                <w:sz w:val="18"/>
                <w:szCs w:val="18"/>
              </w:rPr>
              <w:t xml:space="preserve">[Vorlage Homepage </w:t>
            </w:r>
            <w:r>
              <w:rPr>
                <w:sz w:val="18"/>
                <w:szCs w:val="18"/>
              </w:rPr>
              <w:t>Biologische Sicherheit</w:t>
            </w:r>
            <w:r w:rsidRPr="008A1C9E">
              <w:rPr>
                <w:sz w:val="18"/>
                <w:szCs w:val="18"/>
              </w:rPr>
              <w:t>].</w:t>
            </w:r>
          </w:p>
          <w:p w14:paraId="242366B3" w14:textId="77777777" w:rsidR="002C3E00" w:rsidRDefault="002C3E00" w:rsidP="00BB22E8">
            <w:pPr>
              <w:pStyle w:val="Listenabsatz"/>
              <w:numPr>
                <w:ilvl w:val="0"/>
                <w:numId w:val="22"/>
              </w:numPr>
              <w:ind w:left="313"/>
              <w:jc w:val="both"/>
            </w:pPr>
            <w:r>
              <w:t>Die Betriebsanweisung ist bei Bedarf aber mind. alle 2 Jahre zu überprüfen und wenn nötig zu aktualisieren.</w:t>
            </w:r>
          </w:p>
        </w:tc>
        <w:tc>
          <w:tcPr>
            <w:tcW w:w="426" w:type="dxa"/>
            <w:vAlign w:val="center"/>
          </w:tcPr>
          <w:sdt>
            <w:sdtPr>
              <w:id w:val="567544043"/>
              <w14:checkbox>
                <w14:checked w14:val="0"/>
                <w14:checkedState w14:val="2612" w14:font="MS Gothic"/>
                <w14:uncheckedState w14:val="2610" w14:font="MS Gothic"/>
              </w14:checkbox>
            </w:sdtPr>
            <w:sdtContent>
              <w:p w14:paraId="7D27A090" w14:textId="77777777" w:rsidR="002C3E00" w:rsidRDefault="002C3E00" w:rsidP="00BB22E8">
                <w:pPr>
                  <w:jc w:val="center"/>
                </w:pPr>
                <w:r>
                  <w:rPr>
                    <w:rFonts w:ascii="MS Gothic" w:eastAsia="MS Gothic" w:hAnsi="MS Gothic" w:hint="eastAsia"/>
                  </w:rPr>
                  <w:t>☐</w:t>
                </w:r>
              </w:p>
            </w:sdtContent>
          </w:sdt>
          <w:p w14:paraId="7447B5B6" w14:textId="77777777" w:rsidR="002C3E00" w:rsidRDefault="002C3E00" w:rsidP="00BB22E8">
            <w:pPr>
              <w:jc w:val="center"/>
            </w:pPr>
          </w:p>
          <w:sdt>
            <w:sdtPr>
              <w:id w:val="-48920435"/>
              <w14:checkbox>
                <w14:checked w14:val="0"/>
                <w14:checkedState w14:val="2612" w14:font="MS Gothic"/>
                <w14:uncheckedState w14:val="2610" w14:font="MS Gothic"/>
              </w14:checkbox>
            </w:sdtPr>
            <w:sdtContent>
              <w:p w14:paraId="7E12FBA1" w14:textId="77777777" w:rsidR="002C3E00" w:rsidRDefault="002C3E00" w:rsidP="00BB22E8">
                <w:pPr>
                  <w:jc w:val="center"/>
                </w:pPr>
                <w:r>
                  <w:rPr>
                    <w:rFonts w:ascii="MS Gothic" w:eastAsia="MS Gothic" w:hAnsi="MS Gothic" w:hint="eastAsia"/>
                  </w:rPr>
                  <w:t>☐</w:t>
                </w:r>
              </w:p>
            </w:sdtContent>
          </w:sdt>
        </w:tc>
        <w:tc>
          <w:tcPr>
            <w:tcW w:w="425" w:type="dxa"/>
            <w:vAlign w:val="center"/>
          </w:tcPr>
          <w:sdt>
            <w:sdtPr>
              <w:id w:val="1619717367"/>
              <w14:checkbox>
                <w14:checked w14:val="0"/>
                <w14:checkedState w14:val="2612" w14:font="MS Gothic"/>
                <w14:uncheckedState w14:val="2610" w14:font="MS Gothic"/>
              </w14:checkbox>
            </w:sdtPr>
            <w:sdtContent>
              <w:p w14:paraId="394C3AB6" w14:textId="77777777" w:rsidR="002C3E00" w:rsidRDefault="002C3E00" w:rsidP="00BB22E8">
                <w:pPr>
                  <w:jc w:val="center"/>
                </w:pPr>
                <w:r>
                  <w:rPr>
                    <w:rFonts w:ascii="MS Gothic" w:eastAsia="MS Gothic" w:hAnsi="MS Gothic" w:hint="eastAsia"/>
                  </w:rPr>
                  <w:t>☐</w:t>
                </w:r>
              </w:p>
            </w:sdtContent>
          </w:sdt>
          <w:p w14:paraId="3C752F42" w14:textId="77777777" w:rsidR="002C3E00" w:rsidRDefault="002C3E00" w:rsidP="00BB22E8">
            <w:pPr>
              <w:jc w:val="center"/>
            </w:pPr>
          </w:p>
          <w:sdt>
            <w:sdtPr>
              <w:id w:val="782225721"/>
              <w14:checkbox>
                <w14:checked w14:val="0"/>
                <w14:checkedState w14:val="2612" w14:font="MS Gothic"/>
                <w14:uncheckedState w14:val="2610" w14:font="MS Gothic"/>
              </w14:checkbox>
            </w:sdtPr>
            <w:sdtContent>
              <w:p w14:paraId="76A2DA54" w14:textId="77777777" w:rsidR="002C3E00" w:rsidRDefault="002C3E00" w:rsidP="00BB22E8">
                <w:pPr>
                  <w:jc w:val="center"/>
                </w:pPr>
                <w:r>
                  <w:rPr>
                    <w:rFonts w:ascii="MS Gothic" w:eastAsia="MS Gothic" w:hAnsi="MS Gothic" w:hint="eastAsia"/>
                  </w:rPr>
                  <w:t>☐</w:t>
                </w:r>
              </w:p>
            </w:sdtContent>
          </w:sdt>
        </w:tc>
        <w:tc>
          <w:tcPr>
            <w:tcW w:w="567" w:type="dxa"/>
            <w:vAlign w:val="center"/>
          </w:tcPr>
          <w:sdt>
            <w:sdtPr>
              <w:id w:val="924540152"/>
              <w14:checkbox>
                <w14:checked w14:val="0"/>
                <w14:checkedState w14:val="2612" w14:font="MS Gothic"/>
                <w14:uncheckedState w14:val="2610" w14:font="MS Gothic"/>
              </w14:checkbox>
            </w:sdtPr>
            <w:sdtContent>
              <w:p w14:paraId="609EC32C" w14:textId="77777777" w:rsidR="002C3E00" w:rsidRDefault="002C3E00" w:rsidP="00BB22E8">
                <w:pPr>
                  <w:jc w:val="center"/>
                </w:pPr>
                <w:r>
                  <w:rPr>
                    <w:rFonts w:ascii="MS Gothic" w:eastAsia="MS Gothic" w:hAnsi="MS Gothic" w:hint="eastAsia"/>
                  </w:rPr>
                  <w:t>☐</w:t>
                </w:r>
              </w:p>
            </w:sdtContent>
          </w:sdt>
          <w:p w14:paraId="45B25629" w14:textId="77777777" w:rsidR="002C3E00" w:rsidRDefault="002C3E00" w:rsidP="00BB22E8">
            <w:pPr>
              <w:jc w:val="center"/>
            </w:pPr>
          </w:p>
          <w:sdt>
            <w:sdtPr>
              <w:id w:val="-933365330"/>
              <w14:checkbox>
                <w14:checked w14:val="0"/>
                <w14:checkedState w14:val="2612" w14:font="MS Gothic"/>
                <w14:uncheckedState w14:val="2610" w14:font="MS Gothic"/>
              </w14:checkbox>
            </w:sdtPr>
            <w:sdtContent>
              <w:p w14:paraId="65A0414D" w14:textId="77777777" w:rsidR="002C3E00" w:rsidRDefault="002C3E00" w:rsidP="00BB22E8">
                <w:pPr>
                  <w:jc w:val="center"/>
                </w:pPr>
                <w:r>
                  <w:rPr>
                    <w:rFonts w:ascii="MS Gothic" w:eastAsia="MS Gothic" w:hAnsi="MS Gothic" w:hint="eastAsia"/>
                  </w:rPr>
                  <w:t>☐</w:t>
                </w:r>
              </w:p>
            </w:sdtContent>
          </w:sdt>
        </w:tc>
        <w:tc>
          <w:tcPr>
            <w:tcW w:w="2693" w:type="dxa"/>
            <w:vAlign w:val="center"/>
          </w:tcPr>
          <w:p w14:paraId="4FF62214" w14:textId="77777777" w:rsidR="002C3E00" w:rsidRDefault="002C3E00" w:rsidP="00BB22E8"/>
        </w:tc>
        <w:tc>
          <w:tcPr>
            <w:tcW w:w="2268" w:type="dxa"/>
          </w:tcPr>
          <w:p w14:paraId="308643D1" w14:textId="77777777" w:rsidR="002C3E00" w:rsidRDefault="002C3E00" w:rsidP="00BB22E8"/>
        </w:tc>
      </w:tr>
      <w:tr w:rsidR="002C3E00" w14:paraId="7AE0A8DA" w14:textId="77777777" w:rsidTr="00BB22E8">
        <w:tc>
          <w:tcPr>
            <w:tcW w:w="2155" w:type="dxa"/>
            <w:vMerge/>
          </w:tcPr>
          <w:p w14:paraId="3A68D9B1" w14:textId="77777777" w:rsidR="002C3E00" w:rsidRDefault="002C3E00" w:rsidP="00BB22E8">
            <w:pPr>
              <w:pStyle w:val="Listenabsatz"/>
              <w:ind w:left="567"/>
            </w:pPr>
          </w:p>
        </w:tc>
        <w:tc>
          <w:tcPr>
            <w:tcW w:w="6804" w:type="dxa"/>
          </w:tcPr>
          <w:p w14:paraId="63743058" w14:textId="77777777" w:rsidR="002C3E00" w:rsidRDefault="002C3E00" w:rsidP="00BB22E8">
            <w:pPr>
              <w:jc w:val="both"/>
            </w:pPr>
            <w:r>
              <w:t xml:space="preserve">Bei Geräten/Gefahrstoffen mit erhöhter Unfallgefahr und/oder GVO-Kontamination sollen Betriebsanweisungen aushängen. </w:t>
            </w:r>
          </w:p>
          <w:p w14:paraId="7B6F8006" w14:textId="77777777" w:rsidR="002C3E00" w:rsidRDefault="002C3E00" w:rsidP="00BB22E8">
            <w:pPr>
              <w:jc w:val="both"/>
            </w:pPr>
            <w:r w:rsidRPr="006925C1">
              <w:rPr>
                <w:sz w:val="18"/>
                <w:szCs w:val="18"/>
              </w:rPr>
              <w:t>[z.B. Autoklav, Abzug, Zentrifugen, Flüssigstickstoff-Behälter, Sicherheitswerkbank, giftige/ ätzende/ brennbare Stoffe. ]</w:t>
            </w:r>
          </w:p>
        </w:tc>
        <w:sdt>
          <w:sdtPr>
            <w:id w:val="1558964284"/>
            <w14:checkbox>
              <w14:checked w14:val="0"/>
              <w14:checkedState w14:val="2612" w14:font="MS Gothic"/>
              <w14:uncheckedState w14:val="2610" w14:font="MS Gothic"/>
            </w14:checkbox>
          </w:sdtPr>
          <w:sdtContent>
            <w:tc>
              <w:tcPr>
                <w:tcW w:w="426" w:type="dxa"/>
                <w:vAlign w:val="center"/>
              </w:tcPr>
              <w:p w14:paraId="7F8F6122" w14:textId="77777777" w:rsidR="002C3E00" w:rsidRDefault="002C3E00" w:rsidP="00BB22E8">
                <w:pPr>
                  <w:jc w:val="center"/>
                </w:pPr>
                <w:r>
                  <w:rPr>
                    <w:rFonts w:ascii="MS Gothic" w:eastAsia="MS Gothic" w:hAnsi="MS Gothic" w:hint="eastAsia"/>
                  </w:rPr>
                  <w:t>☐</w:t>
                </w:r>
              </w:p>
            </w:tc>
          </w:sdtContent>
        </w:sdt>
        <w:sdt>
          <w:sdtPr>
            <w:id w:val="-128021912"/>
            <w14:checkbox>
              <w14:checked w14:val="0"/>
              <w14:checkedState w14:val="2612" w14:font="MS Gothic"/>
              <w14:uncheckedState w14:val="2610" w14:font="MS Gothic"/>
            </w14:checkbox>
          </w:sdtPr>
          <w:sdtContent>
            <w:tc>
              <w:tcPr>
                <w:tcW w:w="425" w:type="dxa"/>
                <w:vAlign w:val="center"/>
              </w:tcPr>
              <w:p w14:paraId="3A8E5867" w14:textId="77777777" w:rsidR="002C3E00" w:rsidRDefault="002C3E00" w:rsidP="00BB22E8">
                <w:pPr>
                  <w:jc w:val="center"/>
                </w:pPr>
                <w:r>
                  <w:rPr>
                    <w:rFonts w:ascii="MS Gothic" w:eastAsia="MS Gothic" w:hAnsi="MS Gothic" w:hint="eastAsia"/>
                  </w:rPr>
                  <w:t>☐</w:t>
                </w:r>
              </w:p>
            </w:tc>
          </w:sdtContent>
        </w:sdt>
        <w:sdt>
          <w:sdtPr>
            <w:id w:val="470938398"/>
            <w14:checkbox>
              <w14:checked w14:val="0"/>
              <w14:checkedState w14:val="2612" w14:font="MS Gothic"/>
              <w14:uncheckedState w14:val="2610" w14:font="MS Gothic"/>
            </w14:checkbox>
          </w:sdtPr>
          <w:sdtContent>
            <w:tc>
              <w:tcPr>
                <w:tcW w:w="567" w:type="dxa"/>
                <w:vAlign w:val="center"/>
              </w:tcPr>
              <w:p w14:paraId="01E2356C" w14:textId="77777777" w:rsidR="002C3E00" w:rsidRDefault="002C3E00" w:rsidP="00BB22E8">
                <w:pPr>
                  <w:jc w:val="center"/>
                </w:pPr>
                <w:r>
                  <w:rPr>
                    <w:rFonts w:ascii="MS Gothic" w:eastAsia="MS Gothic" w:hAnsi="MS Gothic" w:hint="eastAsia"/>
                  </w:rPr>
                  <w:t>☐</w:t>
                </w:r>
              </w:p>
            </w:tc>
          </w:sdtContent>
        </w:sdt>
        <w:tc>
          <w:tcPr>
            <w:tcW w:w="2693" w:type="dxa"/>
            <w:vAlign w:val="center"/>
          </w:tcPr>
          <w:p w14:paraId="5E282715" w14:textId="77777777" w:rsidR="002C3E00" w:rsidRDefault="002C3E00" w:rsidP="00BB22E8"/>
        </w:tc>
        <w:tc>
          <w:tcPr>
            <w:tcW w:w="2268" w:type="dxa"/>
          </w:tcPr>
          <w:p w14:paraId="457028F9" w14:textId="77777777" w:rsidR="002C3E00" w:rsidRDefault="002C3E00" w:rsidP="00BB22E8"/>
        </w:tc>
      </w:tr>
      <w:tr w:rsidR="003C22FE" w14:paraId="4CEE3A67" w14:textId="77777777" w:rsidTr="002C3E00">
        <w:trPr>
          <w:trHeight w:val="2181"/>
        </w:trPr>
        <w:tc>
          <w:tcPr>
            <w:tcW w:w="2155" w:type="dxa"/>
            <w:vAlign w:val="center"/>
          </w:tcPr>
          <w:p w14:paraId="6724DC70" w14:textId="2096E51F" w:rsidR="003C22FE" w:rsidRDefault="002C3E00" w:rsidP="003C22FE">
            <w:r>
              <w:lastRenderedPageBreak/>
              <w:t>Hygieneplan</w:t>
            </w:r>
          </w:p>
          <w:p w14:paraId="0C29B5A4" w14:textId="77777777" w:rsidR="003C22FE" w:rsidRDefault="001A6D81" w:rsidP="003C22FE">
            <w:pPr>
              <w:pStyle w:val="Listenabsatz"/>
              <w:ind w:left="0"/>
            </w:pPr>
            <w:hyperlink r:id="rId9" w:history="1">
              <w:r w:rsidR="003C22FE" w:rsidRPr="00AC6CBF">
                <w:rPr>
                  <w:rStyle w:val="Hyperlink"/>
                </w:rPr>
                <w:t>Info Link</w:t>
              </w:r>
            </w:hyperlink>
          </w:p>
        </w:tc>
        <w:tc>
          <w:tcPr>
            <w:tcW w:w="6804" w:type="dxa"/>
          </w:tcPr>
          <w:p w14:paraId="372A1F35" w14:textId="77777777" w:rsidR="003C22FE" w:rsidRDefault="003C22FE" w:rsidP="003C22FE">
            <w:pPr>
              <w:pStyle w:val="Listenabsatz"/>
              <w:numPr>
                <w:ilvl w:val="0"/>
                <w:numId w:val="11"/>
              </w:numPr>
              <w:ind w:left="313"/>
              <w:jc w:val="both"/>
            </w:pPr>
            <w:r>
              <w:t xml:space="preserve">Ein Hautschutzplan ist zu erstellen </w:t>
            </w:r>
            <w:r w:rsidRPr="006001D5">
              <w:rPr>
                <w:sz w:val="18"/>
                <w:szCs w:val="18"/>
              </w:rPr>
              <w:t xml:space="preserve">[Vorlage auf Homepage </w:t>
            </w:r>
            <w:r>
              <w:rPr>
                <w:sz w:val="18"/>
                <w:szCs w:val="18"/>
              </w:rPr>
              <w:t>Biol. Sicherheit</w:t>
            </w:r>
            <w:r w:rsidRPr="006001D5">
              <w:rPr>
                <w:sz w:val="18"/>
                <w:szCs w:val="18"/>
              </w:rPr>
              <w:t xml:space="preserve">]. </w:t>
            </w:r>
            <w:r>
              <w:t xml:space="preserve">Dieser kann Teil des Hygieneplans sein. </w:t>
            </w:r>
          </w:p>
          <w:p w14:paraId="65FC0ACB" w14:textId="77777777" w:rsidR="003C22FE" w:rsidRDefault="003C22FE" w:rsidP="003C22FE">
            <w:pPr>
              <w:pStyle w:val="Listenabsatz"/>
              <w:numPr>
                <w:ilvl w:val="0"/>
                <w:numId w:val="11"/>
              </w:numPr>
              <w:ind w:left="313"/>
              <w:jc w:val="both"/>
            </w:pPr>
            <w:r>
              <w:t xml:space="preserve">Es ist ein Hygieneplan zu erstellen, der Angaben zur Desinfektion im Kontaminationsfall beinhaltet </w:t>
            </w:r>
            <w:r w:rsidRPr="006001D5">
              <w:rPr>
                <w:sz w:val="18"/>
                <w:szCs w:val="18"/>
              </w:rPr>
              <w:t>[Vorlage siehe Homepage</w:t>
            </w:r>
            <w:r>
              <w:rPr>
                <w:sz w:val="18"/>
                <w:szCs w:val="18"/>
              </w:rPr>
              <w:t xml:space="preserve"> Biol. Sicherheit</w:t>
            </w:r>
            <w:r w:rsidRPr="006001D5">
              <w:rPr>
                <w:sz w:val="18"/>
                <w:szCs w:val="18"/>
              </w:rPr>
              <w:t>]</w:t>
            </w:r>
            <w:r>
              <w:t>.</w:t>
            </w:r>
          </w:p>
          <w:p w14:paraId="11370616" w14:textId="3FE3C565" w:rsidR="003C22FE" w:rsidRDefault="003C22FE" w:rsidP="003C22FE">
            <w:pPr>
              <w:pStyle w:val="Listenabsatz"/>
              <w:numPr>
                <w:ilvl w:val="0"/>
                <w:numId w:val="11"/>
              </w:numPr>
              <w:ind w:left="313"/>
              <w:jc w:val="both"/>
            </w:pPr>
            <w:r>
              <w:t>Es</w:t>
            </w:r>
            <w:r w:rsidRPr="00650E86">
              <w:t xml:space="preserve"> müssen </w:t>
            </w:r>
            <w:r>
              <w:t xml:space="preserve">wirksame (=geprüfte) und </w:t>
            </w:r>
            <w:r w:rsidRPr="00E84B87">
              <w:rPr>
                <w:u w:val="single"/>
              </w:rPr>
              <w:t>zugelassene</w:t>
            </w:r>
            <w:r w:rsidRPr="00650E86">
              <w:t xml:space="preserve"> Desinfektionsmittel </w:t>
            </w:r>
            <w:r>
              <w:t>verwendet werden</w:t>
            </w:r>
            <w:r w:rsidR="00C026BC">
              <w:t>.</w:t>
            </w:r>
          </w:p>
          <w:p w14:paraId="06F12288" w14:textId="77777777" w:rsidR="003C22FE" w:rsidRPr="00EB7620" w:rsidRDefault="003C22FE" w:rsidP="003C22FE">
            <w:pPr>
              <w:pStyle w:val="Listenabsatz"/>
              <w:numPr>
                <w:ilvl w:val="0"/>
                <w:numId w:val="11"/>
              </w:numPr>
              <w:ind w:left="313"/>
              <w:jc w:val="both"/>
            </w:pPr>
            <w:r>
              <w:t xml:space="preserve">Hautschutz- und Hygieneplan müssen an geeigneter Stelle ausgehängt werden oder anderweitig </w:t>
            </w:r>
            <w:r w:rsidRPr="002310AB">
              <w:rPr>
                <w:u w:val="single"/>
              </w:rPr>
              <w:t>leicht</w:t>
            </w:r>
            <w:r>
              <w:t xml:space="preserve"> verfügbar sein.</w:t>
            </w:r>
          </w:p>
        </w:tc>
        <w:tc>
          <w:tcPr>
            <w:tcW w:w="426" w:type="dxa"/>
            <w:vAlign w:val="center"/>
          </w:tcPr>
          <w:sdt>
            <w:sdtPr>
              <w:id w:val="-1531257460"/>
              <w14:checkbox>
                <w14:checked w14:val="0"/>
                <w14:checkedState w14:val="2612" w14:font="MS Gothic"/>
                <w14:uncheckedState w14:val="2610" w14:font="MS Gothic"/>
              </w14:checkbox>
            </w:sdtPr>
            <w:sdtEndPr/>
            <w:sdtContent>
              <w:p w14:paraId="6BC67925" w14:textId="77777777" w:rsidR="003C22FE" w:rsidRDefault="003C22FE" w:rsidP="003C22FE">
                <w:pPr>
                  <w:jc w:val="center"/>
                </w:pPr>
                <w:r>
                  <w:rPr>
                    <w:rFonts w:ascii="MS Gothic" w:eastAsia="MS Gothic" w:hAnsi="MS Gothic" w:hint="eastAsia"/>
                  </w:rPr>
                  <w:t>☐</w:t>
                </w:r>
              </w:p>
            </w:sdtContent>
          </w:sdt>
          <w:p w14:paraId="3822740E" w14:textId="77777777" w:rsidR="003C22FE" w:rsidRDefault="003C22FE" w:rsidP="003C22FE">
            <w:pPr>
              <w:jc w:val="center"/>
            </w:pPr>
          </w:p>
          <w:sdt>
            <w:sdtPr>
              <w:id w:val="1485584997"/>
              <w14:checkbox>
                <w14:checked w14:val="0"/>
                <w14:checkedState w14:val="2612" w14:font="MS Gothic"/>
                <w14:uncheckedState w14:val="2610" w14:font="MS Gothic"/>
              </w14:checkbox>
            </w:sdtPr>
            <w:sdtEndPr/>
            <w:sdtContent>
              <w:p w14:paraId="1CCB216B" w14:textId="77777777" w:rsidR="003C22FE" w:rsidRDefault="003C22FE" w:rsidP="003C22FE">
                <w:pPr>
                  <w:jc w:val="center"/>
                </w:pPr>
                <w:r>
                  <w:rPr>
                    <w:rFonts w:ascii="MS Gothic" w:eastAsia="MS Gothic" w:hAnsi="MS Gothic" w:hint="eastAsia"/>
                  </w:rPr>
                  <w:t>☐</w:t>
                </w:r>
              </w:p>
            </w:sdtContent>
          </w:sdt>
          <w:p w14:paraId="37CDC1AA" w14:textId="77777777" w:rsidR="003C22FE" w:rsidRDefault="003C22FE" w:rsidP="003C22FE">
            <w:pPr>
              <w:jc w:val="center"/>
            </w:pPr>
          </w:p>
          <w:sdt>
            <w:sdtPr>
              <w:id w:val="-1258591446"/>
              <w14:checkbox>
                <w14:checked w14:val="0"/>
                <w14:checkedState w14:val="2612" w14:font="MS Gothic"/>
                <w14:uncheckedState w14:val="2610" w14:font="MS Gothic"/>
              </w14:checkbox>
            </w:sdtPr>
            <w:sdtEndPr/>
            <w:sdtContent>
              <w:p w14:paraId="6B8B6EA5" w14:textId="77777777" w:rsidR="003C22FE" w:rsidRDefault="003C22FE" w:rsidP="003C22FE">
                <w:pPr>
                  <w:jc w:val="center"/>
                </w:pPr>
                <w:r>
                  <w:rPr>
                    <w:rFonts w:ascii="MS Gothic" w:eastAsia="MS Gothic" w:hAnsi="MS Gothic" w:hint="eastAsia"/>
                  </w:rPr>
                  <w:t>☐</w:t>
                </w:r>
              </w:p>
            </w:sdtContent>
          </w:sdt>
          <w:p w14:paraId="5F20B29D" w14:textId="77777777" w:rsidR="003C22FE" w:rsidRDefault="003C22FE" w:rsidP="003C22FE">
            <w:pPr>
              <w:jc w:val="center"/>
            </w:pPr>
          </w:p>
          <w:sdt>
            <w:sdtPr>
              <w:id w:val="-2067337147"/>
              <w14:checkbox>
                <w14:checked w14:val="0"/>
                <w14:checkedState w14:val="2612" w14:font="MS Gothic"/>
                <w14:uncheckedState w14:val="2610" w14:font="MS Gothic"/>
              </w14:checkbox>
            </w:sdtPr>
            <w:sdtEndPr/>
            <w:sdtContent>
              <w:p w14:paraId="047128D9" w14:textId="77777777" w:rsidR="003C22FE" w:rsidRDefault="003C22FE" w:rsidP="003C22FE">
                <w:pPr>
                  <w:jc w:val="center"/>
                </w:pPr>
                <w:r>
                  <w:rPr>
                    <w:rFonts w:ascii="MS Gothic" w:eastAsia="MS Gothic" w:hAnsi="MS Gothic" w:hint="eastAsia"/>
                  </w:rPr>
                  <w:t>☐</w:t>
                </w:r>
              </w:p>
            </w:sdtContent>
          </w:sdt>
        </w:tc>
        <w:tc>
          <w:tcPr>
            <w:tcW w:w="425" w:type="dxa"/>
            <w:vAlign w:val="center"/>
          </w:tcPr>
          <w:sdt>
            <w:sdtPr>
              <w:id w:val="618496132"/>
              <w14:checkbox>
                <w14:checked w14:val="0"/>
                <w14:checkedState w14:val="2612" w14:font="MS Gothic"/>
                <w14:uncheckedState w14:val="2610" w14:font="MS Gothic"/>
              </w14:checkbox>
            </w:sdtPr>
            <w:sdtEndPr/>
            <w:sdtContent>
              <w:p w14:paraId="0438D152" w14:textId="77777777" w:rsidR="003C22FE" w:rsidRDefault="003C22FE" w:rsidP="003C22FE">
                <w:pPr>
                  <w:jc w:val="center"/>
                </w:pPr>
                <w:r>
                  <w:rPr>
                    <w:rFonts w:ascii="MS Gothic" w:eastAsia="MS Gothic" w:hAnsi="MS Gothic" w:hint="eastAsia"/>
                  </w:rPr>
                  <w:t>☐</w:t>
                </w:r>
              </w:p>
            </w:sdtContent>
          </w:sdt>
          <w:p w14:paraId="12C2EB04" w14:textId="77777777" w:rsidR="003C22FE" w:rsidRDefault="003C22FE" w:rsidP="003C22FE">
            <w:pPr>
              <w:jc w:val="center"/>
            </w:pPr>
          </w:p>
          <w:sdt>
            <w:sdtPr>
              <w:id w:val="1917357414"/>
              <w14:checkbox>
                <w14:checked w14:val="0"/>
                <w14:checkedState w14:val="2612" w14:font="MS Gothic"/>
                <w14:uncheckedState w14:val="2610" w14:font="MS Gothic"/>
              </w14:checkbox>
            </w:sdtPr>
            <w:sdtEndPr/>
            <w:sdtContent>
              <w:p w14:paraId="5ABEC315" w14:textId="77777777" w:rsidR="003C22FE" w:rsidRDefault="003C22FE" w:rsidP="003C22FE">
                <w:pPr>
                  <w:jc w:val="center"/>
                </w:pPr>
                <w:r>
                  <w:rPr>
                    <w:rFonts w:ascii="MS Gothic" w:eastAsia="MS Gothic" w:hAnsi="MS Gothic" w:hint="eastAsia"/>
                  </w:rPr>
                  <w:t>☐</w:t>
                </w:r>
              </w:p>
            </w:sdtContent>
          </w:sdt>
          <w:p w14:paraId="634ED32B" w14:textId="77777777" w:rsidR="003C22FE" w:rsidRDefault="003C22FE" w:rsidP="003C22FE">
            <w:pPr>
              <w:jc w:val="center"/>
            </w:pPr>
          </w:p>
          <w:sdt>
            <w:sdtPr>
              <w:id w:val="-969284392"/>
              <w14:checkbox>
                <w14:checked w14:val="0"/>
                <w14:checkedState w14:val="2612" w14:font="MS Gothic"/>
                <w14:uncheckedState w14:val="2610" w14:font="MS Gothic"/>
              </w14:checkbox>
            </w:sdtPr>
            <w:sdtEndPr/>
            <w:sdtContent>
              <w:p w14:paraId="620810F4" w14:textId="77777777" w:rsidR="003C22FE" w:rsidRDefault="003C22FE" w:rsidP="003C22FE">
                <w:pPr>
                  <w:jc w:val="center"/>
                </w:pPr>
                <w:r>
                  <w:rPr>
                    <w:rFonts w:ascii="MS Gothic" w:eastAsia="MS Gothic" w:hAnsi="MS Gothic" w:hint="eastAsia"/>
                  </w:rPr>
                  <w:t>☐</w:t>
                </w:r>
              </w:p>
            </w:sdtContent>
          </w:sdt>
          <w:p w14:paraId="6A7F55E7" w14:textId="77777777" w:rsidR="003C22FE" w:rsidRDefault="003C22FE" w:rsidP="003C22FE">
            <w:pPr>
              <w:jc w:val="center"/>
            </w:pPr>
          </w:p>
          <w:sdt>
            <w:sdtPr>
              <w:id w:val="192342702"/>
              <w14:checkbox>
                <w14:checked w14:val="0"/>
                <w14:checkedState w14:val="2612" w14:font="MS Gothic"/>
                <w14:uncheckedState w14:val="2610" w14:font="MS Gothic"/>
              </w14:checkbox>
            </w:sdtPr>
            <w:sdtEndPr/>
            <w:sdtContent>
              <w:p w14:paraId="320F6306" w14:textId="77777777" w:rsidR="003C22FE" w:rsidRDefault="003C22FE" w:rsidP="003C22FE">
                <w:pPr>
                  <w:jc w:val="center"/>
                </w:pPr>
                <w:r>
                  <w:rPr>
                    <w:rFonts w:ascii="MS Gothic" w:eastAsia="MS Gothic" w:hAnsi="MS Gothic" w:hint="eastAsia"/>
                  </w:rPr>
                  <w:t>☐</w:t>
                </w:r>
              </w:p>
            </w:sdtContent>
          </w:sdt>
        </w:tc>
        <w:tc>
          <w:tcPr>
            <w:tcW w:w="567" w:type="dxa"/>
            <w:vAlign w:val="center"/>
          </w:tcPr>
          <w:sdt>
            <w:sdtPr>
              <w:id w:val="-1855952932"/>
              <w14:checkbox>
                <w14:checked w14:val="0"/>
                <w14:checkedState w14:val="2612" w14:font="MS Gothic"/>
                <w14:uncheckedState w14:val="2610" w14:font="MS Gothic"/>
              </w14:checkbox>
            </w:sdtPr>
            <w:sdtEndPr/>
            <w:sdtContent>
              <w:p w14:paraId="1356AA6F" w14:textId="77777777" w:rsidR="003C22FE" w:rsidRDefault="003C22FE" w:rsidP="003C22FE">
                <w:pPr>
                  <w:jc w:val="center"/>
                </w:pPr>
                <w:r>
                  <w:rPr>
                    <w:rFonts w:ascii="MS Gothic" w:eastAsia="MS Gothic" w:hAnsi="MS Gothic" w:hint="eastAsia"/>
                  </w:rPr>
                  <w:t>☐</w:t>
                </w:r>
              </w:p>
            </w:sdtContent>
          </w:sdt>
          <w:p w14:paraId="7ED52236" w14:textId="77777777" w:rsidR="003C22FE" w:rsidRDefault="003C22FE" w:rsidP="003C22FE">
            <w:pPr>
              <w:jc w:val="center"/>
            </w:pPr>
          </w:p>
          <w:sdt>
            <w:sdtPr>
              <w:id w:val="-1472287738"/>
              <w14:checkbox>
                <w14:checked w14:val="0"/>
                <w14:checkedState w14:val="2612" w14:font="MS Gothic"/>
                <w14:uncheckedState w14:val="2610" w14:font="MS Gothic"/>
              </w14:checkbox>
            </w:sdtPr>
            <w:sdtEndPr/>
            <w:sdtContent>
              <w:p w14:paraId="518E732B" w14:textId="77777777" w:rsidR="003C22FE" w:rsidRDefault="003C22FE" w:rsidP="003C22FE">
                <w:pPr>
                  <w:jc w:val="center"/>
                </w:pPr>
                <w:r>
                  <w:rPr>
                    <w:rFonts w:ascii="MS Gothic" w:eastAsia="MS Gothic" w:hAnsi="MS Gothic" w:hint="eastAsia"/>
                  </w:rPr>
                  <w:t>☐</w:t>
                </w:r>
              </w:p>
            </w:sdtContent>
          </w:sdt>
          <w:p w14:paraId="60E514B5" w14:textId="77777777" w:rsidR="003C22FE" w:rsidRDefault="003C22FE" w:rsidP="003C22FE">
            <w:pPr>
              <w:jc w:val="center"/>
            </w:pPr>
          </w:p>
          <w:sdt>
            <w:sdtPr>
              <w:id w:val="-1863044559"/>
              <w14:checkbox>
                <w14:checked w14:val="0"/>
                <w14:checkedState w14:val="2612" w14:font="MS Gothic"/>
                <w14:uncheckedState w14:val="2610" w14:font="MS Gothic"/>
              </w14:checkbox>
            </w:sdtPr>
            <w:sdtEndPr/>
            <w:sdtContent>
              <w:p w14:paraId="4F5846A9" w14:textId="77777777" w:rsidR="003C22FE" w:rsidRDefault="003C22FE" w:rsidP="003C22FE">
                <w:pPr>
                  <w:jc w:val="center"/>
                </w:pPr>
                <w:r>
                  <w:rPr>
                    <w:rFonts w:ascii="MS Gothic" w:eastAsia="MS Gothic" w:hAnsi="MS Gothic" w:hint="eastAsia"/>
                  </w:rPr>
                  <w:t>☐</w:t>
                </w:r>
              </w:p>
            </w:sdtContent>
          </w:sdt>
          <w:p w14:paraId="089B923F" w14:textId="77777777" w:rsidR="003C22FE" w:rsidRDefault="003C22FE" w:rsidP="003C22FE">
            <w:pPr>
              <w:jc w:val="center"/>
            </w:pPr>
          </w:p>
          <w:sdt>
            <w:sdtPr>
              <w:id w:val="-2067395844"/>
              <w14:checkbox>
                <w14:checked w14:val="0"/>
                <w14:checkedState w14:val="2612" w14:font="MS Gothic"/>
                <w14:uncheckedState w14:val="2610" w14:font="MS Gothic"/>
              </w14:checkbox>
            </w:sdtPr>
            <w:sdtEndPr/>
            <w:sdtContent>
              <w:p w14:paraId="53462DFD" w14:textId="77777777" w:rsidR="003C22FE" w:rsidRDefault="003C22FE" w:rsidP="003C22FE">
                <w:pPr>
                  <w:jc w:val="center"/>
                </w:pPr>
                <w:r>
                  <w:rPr>
                    <w:rFonts w:ascii="MS Gothic" w:eastAsia="MS Gothic" w:hAnsi="MS Gothic" w:hint="eastAsia"/>
                  </w:rPr>
                  <w:t>☐</w:t>
                </w:r>
              </w:p>
            </w:sdtContent>
          </w:sdt>
        </w:tc>
        <w:tc>
          <w:tcPr>
            <w:tcW w:w="2693" w:type="dxa"/>
            <w:vAlign w:val="center"/>
          </w:tcPr>
          <w:p w14:paraId="465F181B" w14:textId="77777777" w:rsidR="003C22FE" w:rsidRDefault="003C22FE" w:rsidP="003C22FE"/>
        </w:tc>
        <w:tc>
          <w:tcPr>
            <w:tcW w:w="2268" w:type="dxa"/>
          </w:tcPr>
          <w:p w14:paraId="492C8B71" w14:textId="77777777" w:rsidR="003C22FE" w:rsidRDefault="003C22FE" w:rsidP="003C22FE"/>
        </w:tc>
      </w:tr>
      <w:tr w:rsidR="003C22FE" w:rsidRPr="00F13B67" w14:paraId="3597DE92" w14:textId="77777777" w:rsidTr="002C3E00">
        <w:tc>
          <w:tcPr>
            <w:tcW w:w="15338" w:type="dxa"/>
            <w:gridSpan w:val="7"/>
            <w:tcBorders>
              <w:top w:val="single" w:sz="4" w:space="0" w:color="auto"/>
            </w:tcBorders>
            <w:shd w:val="clear" w:color="auto" w:fill="D9D9D9" w:themeFill="background1" w:themeFillShade="D9"/>
            <w:vAlign w:val="center"/>
          </w:tcPr>
          <w:p w14:paraId="6A435EC7" w14:textId="77777777" w:rsidR="003C22FE" w:rsidRPr="006925C1" w:rsidRDefault="003C22FE" w:rsidP="003C22FE">
            <w:pPr>
              <w:rPr>
                <w:b/>
              </w:rPr>
            </w:pPr>
            <w:r w:rsidRPr="006925C1">
              <w:rPr>
                <w:b/>
              </w:rPr>
              <w:t>Persönliche Sicherheitsmaßnahmen</w:t>
            </w:r>
          </w:p>
        </w:tc>
      </w:tr>
      <w:tr w:rsidR="00C026BC" w14:paraId="306A3B05" w14:textId="77777777" w:rsidTr="002C3E00">
        <w:trPr>
          <w:trHeight w:val="360"/>
        </w:trPr>
        <w:tc>
          <w:tcPr>
            <w:tcW w:w="2155" w:type="dxa"/>
            <w:vMerge w:val="restart"/>
            <w:vAlign w:val="center"/>
          </w:tcPr>
          <w:p w14:paraId="1E425E8F" w14:textId="77777777" w:rsidR="00C026BC" w:rsidRDefault="00C026BC" w:rsidP="003C22FE">
            <w:pPr>
              <w:ind w:left="33"/>
            </w:pPr>
            <w:r>
              <w:t>Schutzausrüstung</w:t>
            </w:r>
          </w:p>
        </w:tc>
        <w:tc>
          <w:tcPr>
            <w:tcW w:w="6804" w:type="dxa"/>
          </w:tcPr>
          <w:p w14:paraId="485E31DC" w14:textId="22625FC8" w:rsidR="00C026BC" w:rsidRPr="00EB7620" w:rsidRDefault="00C026BC" w:rsidP="00C026BC">
            <w:pPr>
              <w:jc w:val="both"/>
            </w:pPr>
            <w:r>
              <w:t>Im Gewächshaus ist geeignete, d. h. tätigkeitsbezogene Schutzkleidung zu tragen. Die Schutzkleidung</w:t>
            </w:r>
            <w:r>
              <w:t xml:space="preserve"> </w:t>
            </w:r>
            <w:r>
              <w:t>soll nicht außerhalb des Gewächshauses getragen werden, um der Möglichkeit eines Austrags von gentechnisch</w:t>
            </w:r>
            <w:r>
              <w:t xml:space="preserve"> </w:t>
            </w:r>
            <w:r>
              <w:t>veränderten Organismen über die Kleidung vorzubeugen.</w:t>
            </w:r>
          </w:p>
        </w:tc>
        <w:tc>
          <w:tcPr>
            <w:tcW w:w="426" w:type="dxa"/>
            <w:vAlign w:val="center"/>
          </w:tcPr>
          <w:p w14:paraId="60AB98C4" w14:textId="77777777" w:rsidR="00C026BC" w:rsidRDefault="00C026BC" w:rsidP="003C22FE">
            <w:pPr>
              <w:jc w:val="center"/>
            </w:pPr>
            <w:sdt>
              <w:sdtPr>
                <w:id w:val="-121665168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035377497"/>
            <w14:checkbox>
              <w14:checked w14:val="0"/>
              <w14:checkedState w14:val="2612" w14:font="MS Gothic"/>
              <w14:uncheckedState w14:val="2610" w14:font="MS Gothic"/>
            </w14:checkbox>
          </w:sdtPr>
          <w:sdtContent>
            <w:tc>
              <w:tcPr>
                <w:tcW w:w="425" w:type="dxa"/>
                <w:vAlign w:val="center"/>
              </w:tcPr>
              <w:p w14:paraId="32107ADC" w14:textId="77777777" w:rsidR="00C026BC" w:rsidRDefault="00C026BC" w:rsidP="003C22FE">
                <w:pPr>
                  <w:jc w:val="center"/>
                </w:pPr>
                <w:r>
                  <w:rPr>
                    <w:rFonts w:ascii="MS Gothic" w:eastAsia="MS Gothic" w:hAnsi="MS Gothic" w:hint="eastAsia"/>
                  </w:rPr>
                  <w:t>☐</w:t>
                </w:r>
              </w:p>
            </w:tc>
          </w:sdtContent>
        </w:sdt>
        <w:sdt>
          <w:sdtPr>
            <w:id w:val="1365634704"/>
            <w14:checkbox>
              <w14:checked w14:val="0"/>
              <w14:checkedState w14:val="2612" w14:font="MS Gothic"/>
              <w14:uncheckedState w14:val="2610" w14:font="MS Gothic"/>
            </w14:checkbox>
          </w:sdtPr>
          <w:sdtContent>
            <w:tc>
              <w:tcPr>
                <w:tcW w:w="567" w:type="dxa"/>
                <w:vAlign w:val="center"/>
              </w:tcPr>
              <w:p w14:paraId="3D4613BA" w14:textId="77777777" w:rsidR="00C026BC" w:rsidRDefault="00C026BC" w:rsidP="003C22FE">
                <w:pPr>
                  <w:jc w:val="center"/>
                </w:pPr>
                <w:r>
                  <w:rPr>
                    <w:rFonts w:ascii="MS Gothic" w:eastAsia="MS Gothic" w:hAnsi="MS Gothic" w:hint="eastAsia"/>
                  </w:rPr>
                  <w:t>☐</w:t>
                </w:r>
              </w:p>
            </w:tc>
          </w:sdtContent>
        </w:sdt>
        <w:tc>
          <w:tcPr>
            <w:tcW w:w="2693" w:type="dxa"/>
            <w:vAlign w:val="center"/>
          </w:tcPr>
          <w:p w14:paraId="446F9D30" w14:textId="77777777" w:rsidR="00C026BC" w:rsidRDefault="00C026BC" w:rsidP="003C22FE"/>
        </w:tc>
        <w:tc>
          <w:tcPr>
            <w:tcW w:w="2268" w:type="dxa"/>
          </w:tcPr>
          <w:p w14:paraId="08EE1362" w14:textId="77777777" w:rsidR="00C026BC" w:rsidRDefault="00C026BC" w:rsidP="003C22FE"/>
        </w:tc>
      </w:tr>
      <w:tr w:rsidR="00C026BC" w14:paraId="394D0331" w14:textId="77777777" w:rsidTr="002C3E00">
        <w:trPr>
          <w:trHeight w:val="360"/>
        </w:trPr>
        <w:tc>
          <w:tcPr>
            <w:tcW w:w="2155" w:type="dxa"/>
            <w:vMerge/>
            <w:vAlign w:val="center"/>
          </w:tcPr>
          <w:p w14:paraId="1A19991F" w14:textId="77777777" w:rsidR="00C026BC" w:rsidRDefault="00C026BC" w:rsidP="003C22FE">
            <w:pPr>
              <w:ind w:left="33"/>
            </w:pPr>
          </w:p>
        </w:tc>
        <w:tc>
          <w:tcPr>
            <w:tcW w:w="6804" w:type="dxa"/>
          </w:tcPr>
          <w:p w14:paraId="631406D6" w14:textId="4EF927F1" w:rsidR="00C026BC" w:rsidRDefault="00C026BC" w:rsidP="00C026BC">
            <w:pPr>
              <w:jc w:val="both"/>
            </w:pPr>
            <w:r>
              <w:t>Benutzte Schutzkleidung ist getrennt von Straßenkleidung aufzubewahren. Straßenkleidung, Taschen</w:t>
            </w:r>
            <w:r>
              <w:t xml:space="preserve"> </w:t>
            </w:r>
            <w:r>
              <w:t>o. ä. dürfen nicht im Arbeitsbereich aufbewahrt werden.</w:t>
            </w:r>
          </w:p>
        </w:tc>
        <w:sdt>
          <w:sdtPr>
            <w:id w:val="890302105"/>
            <w14:checkbox>
              <w14:checked w14:val="0"/>
              <w14:checkedState w14:val="2612" w14:font="MS Gothic"/>
              <w14:uncheckedState w14:val="2610" w14:font="MS Gothic"/>
            </w14:checkbox>
          </w:sdtPr>
          <w:sdtContent>
            <w:tc>
              <w:tcPr>
                <w:tcW w:w="426" w:type="dxa"/>
                <w:vAlign w:val="center"/>
              </w:tcPr>
              <w:p w14:paraId="12573203" w14:textId="68CC5092" w:rsidR="00C026BC" w:rsidRDefault="00C026BC" w:rsidP="003C22FE">
                <w:pPr>
                  <w:jc w:val="center"/>
                </w:pPr>
                <w:r>
                  <w:rPr>
                    <w:rFonts w:ascii="MS Gothic" w:eastAsia="MS Gothic" w:hAnsi="MS Gothic" w:hint="eastAsia"/>
                  </w:rPr>
                  <w:t>☐</w:t>
                </w:r>
              </w:p>
            </w:tc>
          </w:sdtContent>
        </w:sdt>
        <w:sdt>
          <w:sdtPr>
            <w:id w:val="-666399612"/>
            <w14:checkbox>
              <w14:checked w14:val="0"/>
              <w14:checkedState w14:val="2612" w14:font="MS Gothic"/>
              <w14:uncheckedState w14:val="2610" w14:font="MS Gothic"/>
            </w14:checkbox>
          </w:sdtPr>
          <w:sdtContent>
            <w:tc>
              <w:tcPr>
                <w:tcW w:w="425" w:type="dxa"/>
                <w:vAlign w:val="center"/>
              </w:tcPr>
              <w:p w14:paraId="362650A4" w14:textId="7E62D38C" w:rsidR="00C026BC" w:rsidRDefault="00C026BC" w:rsidP="003C22FE">
                <w:pPr>
                  <w:jc w:val="center"/>
                </w:pPr>
                <w:r>
                  <w:rPr>
                    <w:rFonts w:ascii="MS Gothic" w:eastAsia="MS Gothic" w:hAnsi="MS Gothic" w:hint="eastAsia"/>
                  </w:rPr>
                  <w:t>☐</w:t>
                </w:r>
              </w:p>
            </w:tc>
          </w:sdtContent>
        </w:sdt>
        <w:sdt>
          <w:sdtPr>
            <w:id w:val="-2093304383"/>
            <w14:checkbox>
              <w14:checked w14:val="0"/>
              <w14:checkedState w14:val="2612" w14:font="MS Gothic"/>
              <w14:uncheckedState w14:val="2610" w14:font="MS Gothic"/>
            </w14:checkbox>
          </w:sdtPr>
          <w:sdtContent>
            <w:tc>
              <w:tcPr>
                <w:tcW w:w="567" w:type="dxa"/>
                <w:vAlign w:val="center"/>
              </w:tcPr>
              <w:p w14:paraId="76F07C37" w14:textId="06825430" w:rsidR="00C026BC" w:rsidRDefault="00C026BC" w:rsidP="003C22FE">
                <w:pPr>
                  <w:jc w:val="center"/>
                </w:pPr>
                <w:r>
                  <w:rPr>
                    <w:rFonts w:ascii="MS Gothic" w:eastAsia="MS Gothic" w:hAnsi="MS Gothic" w:hint="eastAsia"/>
                  </w:rPr>
                  <w:t>☐</w:t>
                </w:r>
              </w:p>
            </w:tc>
          </w:sdtContent>
        </w:sdt>
        <w:tc>
          <w:tcPr>
            <w:tcW w:w="2693" w:type="dxa"/>
            <w:vAlign w:val="center"/>
          </w:tcPr>
          <w:p w14:paraId="02DA459E" w14:textId="77777777" w:rsidR="00C026BC" w:rsidRDefault="00C026BC" w:rsidP="003C22FE"/>
        </w:tc>
        <w:tc>
          <w:tcPr>
            <w:tcW w:w="2268" w:type="dxa"/>
          </w:tcPr>
          <w:p w14:paraId="0AAD66CA" w14:textId="77777777" w:rsidR="00C026BC" w:rsidRDefault="00C026BC" w:rsidP="003C22FE"/>
        </w:tc>
      </w:tr>
    </w:tbl>
    <w:p w14:paraId="0AFD177E" w14:textId="77777777" w:rsidR="001D00C9" w:rsidRPr="007D7305" w:rsidRDefault="001D00C9" w:rsidP="002C3E00"/>
    <w:sectPr w:rsidR="001D00C9" w:rsidRPr="007D7305" w:rsidSect="00945B29">
      <w:headerReference w:type="default" r:id="rId10"/>
      <w:footerReference w:type="default" r:id="rId11"/>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1C09" w14:textId="77777777" w:rsidR="001A6D81" w:rsidRDefault="001A6D81" w:rsidP="00E727E2">
      <w:pPr>
        <w:spacing w:after="0" w:line="240" w:lineRule="auto"/>
      </w:pPr>
      <w:r>
        <w:separator/>
      </w:r>
    </w:p>
  </w:endnote>
  <w:endnote w:type="continuationSeparator" w:id="0">
    <w:p w14:paraId="6214ED53" w14:textId="77777777" w:rsidR="001A6D81" w:rsidRDefault="001A6D81"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5" w:type="pct"/>
      <w:tblInd w:w="-497" w:type="dxa"/>
      <w:tblCellMar>
        <w:left w:w="70" w:type="dxa"/>
        <w:right w:w="70" w:type="dxa"/>
      </w:tblCellMar>
      <w:tblLook w:val="0000" w:firstRow="0" w:lastRow="0" w:firstColumn="0" w:lastColumn="0" w:noHBand="0" w:noVBand="0"/>
    </w:tblPr>
    <w:tblGrid>
      <w:gridCol w:w="2948"/>
      <w:gridCol w:w="3081"/>
      <w:gridCol w:w="9359"/>
    </w:tblGrid>
    <w:tr w:rsidR="00D76FDF" w14:paraId="6C014139" w14:textId="77777777" w:rsidTr="00D76FDF">
      <w:tc>
        <w:tcPr>
          <w:tcW w:w="958" w:type="pct"/>
        </w:tcPr>
        <w:p w14:paraId="3F1CE969" w14:textId="77777777" w:rsidR="00D76FDF" w:rsidRPr="008A4C40" w:rsidRDefault="00D76FDF" w:rsidP="007D7305">
          <w:pPr>
            <w:pStyle w:val="Fuzeile"/>
            <w:widowControl w:val="0"/>
            <w:rPr>
              <w:rFonts w:ascii="Arial" w:hAnsi="Arial" w:cs="Arial"/>
              <w:lang w:val="en-US"/>
            </w:rPr>
          </w:pPr>
          <w:r>
            <w:rPr>
              <w:rFonts w:ascii="Arial" w:hAnsi="Arial" w:cs="Arial"/>
            </w:rPr>
            <w:t xml:space="preserve">Datum: </w:t>
          </w:r>
        </w:p>
      </w:tc>
      <w:tc>
        <w:tcPr>
          <w:tcW w:w="1001" w:type="pct"/>
        </w:tcPr>
        <w:p w14:paraId="53332A33" w14:textId="77777777" w:rsidR="00D76FDF" w:rsidRDefault="00D76FDF" w:rsidP="002310AB">
          <w:pPr>
            <w:pStyle w:val="Fuzeile"/>
            <w:widowControl w:val="0"/>
            <w:rPr>
              <w:rFonts w:ascii="Arial" w:hAnsi="Arial" w:cs="Arial"/>
            </w:rPr>
          </w:pPr>
          <w:r>
            <w:rPr>
              <w:rFonts w:ascii="Arial" w:hAnsi="Arial" w:cs="Arial"/>
            </w:rPr>
            <w:t>Anlass Überprüfung:</w:t>
          </w:r>
        </w:p>
      </w:tc>
      <w:tc>
        <w:tcPr>
          <w:tcW w:w="3041" w:type="pct"/>
        </w:tcPr>
        <w:p w14:paraId="6CE6C42F" w14:textId="77777777" w:rsidR="00D76FDF" w:rsidRDefault="00D76FDF" w:rsidP="002310AB">
          <w:pPr>
            <w:pStyle w:val="Fuzeile"/>
            <w:widowControl w:val="0"/>
            <w:rPr>
              <w:rFonts w:ascii="Arial" w:hAnsi="Arial" w:cs="Arial"/>
            </w:rPr>
          </w:pPr>
        </w:p>
      </w:tc>
    </w:tr>
    <w:tr w:rsidR="00D76FDF" w14:paraId="2017225A" w14:textId="77777777" w:rsidTr="00D76FDF">
      <w:tc>
        <w:tcPr>
          <w:tcW w:w="958" w:type="pct"/>
        </w:tcPr>
        <w:p w14:paraId="0730152E" w14:textId="77777777" w:rsidR="00D76FDF" w:rsidRPr="00D907C4" w:rsidRDefault="00D76FDF" w:rsidP="007D7305">
          <w:pPr>
            <w:pStyle w:val="Fuzeile"/>
            <w:widowControl w:val="0"/>
            <w:rPr>
              <w:rFonts w:ascii="Arial" w:hAnsi="Arial" w:cs="Arial"/>
            </w:rPr>
          </w:pPr>
          <w:r w:rsidRPr="00F161FF">
            <w:rPr>
              <w:rFonts w:ascii="Arial" w:hAnsi="Arial" w:cs="Arial"/>
            </w:rPr>
            <w:t>Erstellt</w:t>
          </w:r>
          <w:r w:rsidRPr="00D907C4">
            <w:rPr>
              <w:rFonts w:ascii="Arial" w:hAnsi="Arial" w:cs="Arial"/>
            </w:rPr>
            <w:t xml:space="preserve"> von: </w:t>
          </w:r>
        </w:p>
      </w:tc>
      <w:tc>
        <w:tcPr>
          <w:tcW w:w="1001" w:type="pct"/>
        </w:tcPr>
        <w:p w14:paraId="5AA947B9" w14:textId="77777777" w:rsidR="00D76FDF" w:rsidRDefault="00D76FDF" w:rsidP="00A447F8">
          <w:pPr>
            <w:pStyle w:val="Fuzeile"/>
            <w:widowControl w:val="0"/>
            <w:rPr>
              <w:rFonts w:ascii="Arial" w:hAnsi="Arial" w:cs="Arial"/>
            </w:rPr>
          </w:pPr>
          <w:r>
            <w:rPr>
              <w:rFonts w:ascii="Arial" w:hAnsi="Arial" w:cs="Arial"/>
            </w:rPr>
            <w:t>Anwesend (Name, Funktion):</w:t>
          </w:r>
        </w:p>
      </w:tc>
      <w:tc>
        <w:tcPr>
          <w:tcW w:w="3041" w:type="pct"/>
        </w:tcPr>
        <w:p w14:paraId="2B315F06" w14:textId="77777777" w:rsidR="00D76FDF" w:rsidRPr="00A447F8" w:rsidRDefault="00D76FDF" w:rsidP="00A447F8">
          <w:pPr>
            <w:pStyle w:val="Fuzeile"/>
            <w:widowControl w:val="0"/>
            <w:rPr>
              <w:rFonts w:ascii="Arial" w:hAnsi="Arial" w:cs="Arial"/>
            </w:rPr>
          </w:pPr>
        </w:p>
      </w:tc>
    </w:tr>
  </w:tbl>
  <w:p w14:paraId="328DA0E0" w14:textId="77777777" w:rsidR="002310AB" w:rsidRDefault="002310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0D7D" w14:textId="77777777" w:rsidR="001A6D81" w:rsidRDefault="001A6D81" w:rsidP="00E727E2">
      <w:pPr>
        <w:spacing w:after="0" w:line="240" w:lineRule="auto"/>
      </w:pPr>
      <w:r>
        <w:separator/>
      </w:r>
    </w:p>
  </w:footnote>
  <w:footnote w:type="continuationSeparator" w:id="0">
    <w:p w14:paraId="7EAD0351" w14:textId="77777777" w:rsidR="001A6D81" w:rsidRDefault="001A6D81"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309" w:type="dxa"/>
      <w:tblInd w:w="-459" w:type="dxa"/>
      <w:tblLook w:val="0000" w:firstRow="0" w:lastRow="0" w:firstColumn="0" w:lastColumn="0" w:noHBand="0" w:noVBand="0"/>
    </w:tblPr>
    <w:tblGrid>
      <w:gridCol w:w="2410"/>
      <w:gridCol w:w="10631"/>
      <w:gridCol w:w="2268"/>
    </w:tblGrid>
    <w:tr w:rsidR="002310AB" w14:paraId="0CDE33B4" w14:textId="77777777" w:rsidTr="00C16D92">
      <w:trPr>
        <w:trHeight w:hRule="exact" w:val="291"/>
      </w:trPr>
      <w:tc>
        <w:tcPr>
          <w:tcW w:w="2410" w:type="dxa"/>
          <w:vMerge w:val="restart"/>
        </w:tcPr>
        <w:p w14:paraId="60C2A292" w14:textId="77777777" w:rsidR="002310AB" w:rsidRPr="00E01423" w:rsidRDefault="00055D7B" w:rsidP="002310AB">
          <w:pPr>
            <w:jc w:val="center"/>
          </w:pPr>
          <w:r>
            <w:rPr>
              <w:noProof/>
              <w:lang w:eastAsia="de-DE"/>
            </w:rPr>
            <w:drawing>
              <wp:anchor distT="0" distB="0" distL="114300" distR="114300" simplePos="0" relativeHeight="251667456" behindDoc="1" locked="0" layoutInCell="1" allowOverlap="1" wp14:anchorId="407A3BE6" wp14:editId="2C58B980">
                <wp:simplePos x="0" y="0"/>
                <wp:positionH relativeFrom="column">
                  <wp:posOffset>354330</wp:posOffset>
                </wp:positionH>
                <wp:positionV relativeFrom="paragraph">
                  <wp:posOffset>635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631" w:type="dxa"/>
          <w:vAlign w:val="center"/>
        </w:tcPr>
        <w:p w14:paraId="25E3AA03" w14:textId="77777777" w:rsidR="002310AB" w:rsidRPr="00C16D92" w:rsidRDefault="002310AB" w:rsidP="00E727E2">
          <w:pPr>
            <w:pStyle w:val="Vorgabetext"/>
            <w:widowControl/>
            <w:jc w:val="center"/>
            <w:rPr>
              <w:color w:val="0F243E" w:themeColor="text2" w:themeShade="80"/>
              <w:sz w:val="16"/>
              <w:szCs w:val="16"/>
            </w:rPr>
          </w:pPr>
          <w:r w:rsidRPr="00C16D92">
            <w:rPr>
              <w:rFonts w:ascii="Arial" w:hAnsi="Arial" w:cs="Arial"/>
              <w:color w:val="0F243E" w:themeColor="text2" w:themeShade="80"/>
              <w:sz w:val="16"/>
              <w:szCs w:val="16"/>
            </w:rPr>
            <w:t>GEORG-AUGUST-UNIVERSITÄT: Stabsstelle Sicherheitswesen/Umweltschutz</w:t>
          </w:r>
        </w:p>
      </w:tc>
      <w:tc>
        <w:tcPr>
          <w:tcW w:w="2268" w:type="dxa"/>
          <w:vMerge w:val="restart"/>
        </w:tcPr>
        <w:p w14:paraId="29FDE8F1" w14:textId="77777777" w:rsidR="002310AB" w:rsidRDefault="002310AB" w:rsidP="002310AB">
          <w:pPr>
            <w:pStyle w:val="Vorgabetext"/>
            <w:widowControl/>
            <w:jc w:val="center"/>
          </w:pPr>
          <w:r>
            <w:rPr>
              <w:noProof/>
            </w:rPr>
            <w:drawing>
              <wp:anchor distT="0" distB="0" distL="114300" distR="114300" simplePos="0" relativeHeight="251666432" behindDoc="1" locked="0" layoutInCell="1" allowOverlap="1" wp14:anchorId="62D14042" wp14:editId="109B1F3D">
                <wp:simplePos x="0" y="0"/>
                <wp:positionH relativeFrom="column">
                  <wp:posOffset>52849</wp:posOffset>
                </wp:positionH>
                <wp:positionV relativeFrom="paragraph">
                  <wp:posOffset>190416</wp:posOffset>
                </wp:positionV>
                <wp:extent cx="1031671" cy="321206"/>
                <wp:effectExtent l="0" t="0" r="0" b="3175"/>
                <wp:wrapTight wrapText="bothSides">
                  <wp:wrapPolygon edited="0">
                    <wp:start x="0" y="0"/>
                    <wp:lineTo x="0" y="20531"/>
                    <wp:lineTo x="21148" y="20531"/>
                    <wp:lineTo x="21148" y="0"/>
                    <wp:lineTo x="0" y="0"/>
                  </wp:wrapPolygon>
                </wp:wrapTight>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31671" cy="321206"/>
                        </a:xfrm>
                        <a:prstGeom prst="rect">
                          <a:avLst/>
                        </a:prstGeom>
                        <a:noFill/>
                      </pic:spPr>
                    </pic:pic>
                  </a:graphicData>
                </a:graphic>
                <wp14:sizeRelH relativeFrom="margin">
                  <wp14:pctWidth>0</wp14:pctWidth>
                </wp14:sizeRelH>
                <wp14:sizeRelV relativeFrom="margin">
                  <wp14:pctHeight>0</wp14:pctHeight>
                </wp14:sizeRelV>
              </wp:anchor>
            </w:drawing>
          </w:r>
        </w:p>
      </w:tc>
    </w:tr>
    <w:tr w:rsidR="002310AB" w14:paraId="01C40DC7" w14:textId="77777777" w:rsidTr="00C16D92">
      <w:trPr>
        <w:trHeight w:hRule="exact" w:val="302"/>
      </w:trPr>
      <w:tc>
        <w:tcPr>
          <w:tcW w:w="2410" w:type="dxa"/>
          <w:vMerge/>
        </w:tcPr>
        <w:p w14:paraId="4372452D" w14:textId="77777777" w:rsidR="002310AB" w:rsidRDefault="002310AB" w:rsidP="002310AB">
          <w:pPr>
            <w:pStyle w:val="Vorgabetext"/>
          </w:pPr>
        </w:p>
      </w:tc>
      <w:tc>
        <w:tcPr>
          <w:tcW w:w="10631" w:type="dxa"/>
        </w:tcPr>
        <w:p w14:paraId="11D49F73" w14:textId="77777777" w:rsidR="002310AB" w:rsidRPr="00F745ED" w:rsidRDefault="002310AB" w:rsidP="002310AB">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1F497D" w:themeColor="text2"/>
              <w:szCs w:val="24"/>
              <w:lang w:eastAsia="en-US"/>
            </w:rPr>
            <w:t>Checkliste</w:t>
          </w:r>
        </w:p>
      </w:tc>
      <w:tc>
        <w:tcPr>
          <w:tcW w:w="2268" w:type="dxa"/>
          <w:vMerge/>
        </w:tcPr>
        <w:p w14:paraId="24F5B8EC" w14:textId="77777777" w:rsidR="002310AB" w:rsidRDefault="002310AB" w:rsidP="002310AB">
          <w:pPr>
            <w:pStyle w:val="Vorgabetext"/>
            <w:widowControl/>
            <w:rPr>
              <w:rFonts w:ascii="Arial" w:hAnsi="Arial" w:cs="Arial"/>
              <w:b/>
              <w:bCs/>
              <w:color w:val="000000"/>
            </w:rPr>
          </w:pPr>
        </w:p>
      </w:tc>
    </w:tr>
    <w:tr w:rsidR="002310AB" w14:paraId="59130AEC" w14:textId="77777777" w:rsidTr="00F745ED">
      <w:trPr>
        <w:trHeight w:hRule="exact" w:val="692"/>
      </w:trPr>
      <w:tc>
        <w:tcPr>
          <w:tcW w:w="2410" w:type="dxa"/>
          <w:vMerge/>
        </w:tcPr>
        <w:p w14:paraId="59514F2D" w14:textId="77777777" w:rsidR="002310AB" w:rsidRDefault="002310AB" w:rsidP="002310AB">
          <w:pPr>
            <w:pStyle w:val="Vorgabetext"/>
            <w:widowControl/>
            <w:rPr>
              <w:rFonts w:ascii="Arial" w:hAnsi="Arial" w:cs="Arial"/>
              <w:b/>
              <w:bCs/>
              <w:color w:val="0000FF"/>
            </w:rPr>
          </w:pPr>
        </w:p>
      </w:tc>
      <w:tc>
        <w:tcPr>
          <w:tcW w:w="10631" w:type="dxa"/>
        </w:tcPr>
        <w:p w14:paraId="1F5760EC" w14:textId="77777777" w:rsidR="002310AB" w:rsidRPr="00F745ED" w:rsidRDefault="00055D7B" w:rsidP="002310AB">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1F497D" w:themeColor="text2"/>
              <w:szCs w:val="24"/>
              <w:lang w:eastAsia="en-US"/>
            </w:rPr>
            <w:t>Bauliche</w:t>
          </w:r>
          <w:r w:rsidR="002310AB" w:rsidRPr="00F745ED">
            <w:rPr>
              <w:rFonts w:asciiTheme="minorHAnsi" w:eastAsiaTheme="majorEastAsia" w:hAnsiTheme="minorHAnsi" w:cstheme="majorBidi"/>
              <w:b/>
              <w:bCs/>
              <w:iCs/>
              <w:color w:val="1F497D" w:themeColor="text2"/>
              <w:szCs w:val="24"/>
              <w:lang w:eastAsia="en-US"/>
            </w:rPr>
            <w:t xml:space="preserve">, technische und organisatorische Anforderungen an ein gentechnisches </w:t>
          </w:r>
        </w:p>
        <w:p w14:paraId="762DF39B" w14:textId="02C87795" w:rsidR="002310AB" w:rsidRPr="00F745ED" w:rsidRDefault="002310AB" w:rsidP="001A6FE4">
          <w:pPr>
            <w:pStyle w:val="Vorgabetext"/>
            <w:widowControl/>
            <w:jc w:val="center"/>
            <w:rPr>
              <w:rFonts w:asciiTheme="minorHAnsi" w:eastAsiaTheme="majorEastAsia" w:hAnsiTheme="minorHAnsi" w:cstheme="majorBidi"/>
              <w:b/>
              <w:bCs/>
              <w:iCs/>
              <w:color w:val="1F497D" w:themeColor="text2"/>
              <w:szCs w:val="24"/>
              <w:lang w:eastAsia="en-US"/>
            </w:rPr>
          </w:pPr>
          <w:r w:rsidRPr="00F745ED">
            <w:rPr>
              <w:rFonts w:asciiTheme="minorHAnsi" w:eastAsiaTheme="majorEastAsia" w:hAnsiTheme="minorHAnsi" w:cstheme="majorBidi"/>
              <w:b/>
              <w:bCs/>
              <w:iCs/>
              <w:color w:val="FF0000"/>
              <w:szCs w:val="24"/>
              <w:lang w:eastAsia="en-US"/>
            </w:rPr>
            <w:t>S1 -</w:t>
          </w:r>
          <w:r w:rsidR="00F341B0">
            <w:rPr>
              <w:rFonts w:asciiTheme="minorHAnsi" w:eastAsiaTheme="majorEastAsia" w:hAnsiTheme="minorHAnsi" w:cstheme="majorBidi"/>
              <w:b/>
              <w:bCs/>
              <w:iCs/>
              <w:color w:val="FF0000"/>
              <w:szCs w:val="24"/>
              <w:lang w:eastAsia="en-US"/>
            </w:rPr>
            <w:t>Gewächshaus bzw. Klimakammer</w:t>
          </w:r>
        </w:p>
      </w:tc>
      <w:tc>
        <w:tcPr>
          <w:tcW w:w="2268" w:type="dxa"/>
          <w:vMerge/>
        </w:tcPr>
        <w:p w14:paraId="5BE77226" w14:textId="77777777" w:rsidR="002310AB" w:rsidRDefault="002310AB" w:rsidP="002310AB">
          <w:pPr>
            <w:pStyle w:val="Vorgabetext"/>
            <w:widowControl/>
            <w:rPr>
              <w:rFonts w:ascii="Arial" w:hAnsi="Arial" w:cs="Arial"/>
              <w:b/>
              <w:bCs/>
              <w:color w:val="0000FF"/>
            </w:rPr>
          </w:pPr>
        </w:p>
      </w:tc>
    </w:tr>
  </w:tbl>
  <w:p w14:paraId="4A96E7E2" w14:textId="77777777" w:rsidR="002310AB" w:rsidRDefault="002310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3"/>
    <w:multiLevelType w:val="hybridMultilevel"/>
    <w:tmpl w:val="BD82C9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B9518E"/>
    <w:multiLevelType w:val="hybridMultilevel"/>
    <w:tmpl w:val="D6202744"/>
    <w:lvl w:ilvl="0" w:tplc="0407000F">
      <w:start w:val="1"/>
      <w:numFmt w:val="decimal"/>
      <w:lvlText w:val="%1."/>
      <w:lvlJc w:val="left"/>
      <w:pPr>
        <w:ind w:left="1038" w:hanging="360"/>
      </w:pPr>
    </w:lvl>
    <w:lvl w:ilvl="1" w:tplc="04070019" w:tentative="1">
      <w:start w:val="1"/>
      <w:numFmt w:val="lowerLetter"/>
      <w:lvlText w:val="%2."/>
      <w:lvlJc w:val="left"/>
      <w:pPr>
        <w:ind w:left="1758" w:hanging="360"/>
      </w:pPr>
    </w:lvl>
    <w:lvl w:ilvl="2" w:tplc="0407001B" w:tentative="1">
      <w:start w:val="1"/>
      <w:numFmt w:val="lowerRoman"/>
      <w:lvlText w:val="%3."/>
      <w:lvlJc w:val="right"/>
      <w:pPr>
        <w:ind w:left="2478" w:hanging="180"/>
      </w:pPr>
    </w:lvl>
    <w:lvl w:ilvl="3" w:tplc="0407000F" w:tentative="1">
      <w:start w:val="1"/>
      <w:numFmt w:val="decimal"/>
      <w:lvlText w:val="%4."/>
      <w:lvlJc w:val="left"/>
      <w:pPr>
        <w:ind w:left="3198" w:hanging="360"/>
      </w:pPr>
    </w:lvl>
    <w:lvl w:ilvl="4" w:tplc="04070019" w:tentative="1">
      <w:start w:val="1"/>
      <w:numFmt w:val="lowerLetter"/>
      <w:lvlText w:val="%5."/>
      <w:lvlJc w:val="left"/>
      <w:pPr>
        <w:ind w:left="3918" w:hanging="360"/>
      </w:pPr>
    </w:lvl>
    <w:lvl w:ilvl="5" w:tplc="0407001B" w:tentative="1">
      <w:start w:val="1"/>
      <w:numFmt w:val="lowerRoman"/>
      <w:lvlText w:val="%6."/>
      <w:lvlJc w:val="right"/>
      <w:pPr>
        <w:ind w:left="4638" w:hanging="180"/>
      </w:pPr>
    </w:lvl>
    <w:lvl w:ilvl="6" w:tplc="0407000F" w:tentative="1">
      <w:start w:val="1"/>
      <w:numFmt w:val="decimal"/>
      <w:lvlText w:val="%7."/>
      <w:lvlJc w:val="left"/>
      <w:pPr>
        <w:ind w:left="5358" w:hanging="360"/>
      </w:pPr>
    </w:lvl>
    <w:lvl w:ilvl="7" w:tplc="04070019" w:tentative="1">
      <w:start w:val="1"/>
      <w:numFmt w:val="lowerLetter"/>
      <w:lvlText w:val="%8."/>
      <w:lvlJc w:val="left"/>
      <w:pPr>
        <w:ind w:left="6078" w:hanging="360"/>
      </w:pPr>
    </w:lvl>
    <w:lvl w:ilvl="8" w:tplc="0407001B" w:tentative="1">
      <w:start w:val="1"/>
      <w:numFmt w:val="lowerRoman"/>
      <w:lvlText w:val="%9."/>
      <w:lvlJc w:val="right"/>
      <w:pPr>
        <w:ind w:left="6798" w:hanging="180"/>
      </w:pPr>
    </w:lvl>
  </w:abstractNum>
  <w:abstractNum w:abstractNumId="2" w15:restartNumberingAfterBreak="0">
    <w:nsid w:val="02FC2BD4"/>
    <w:multiLevelType w:val="hybridMultilevel"/>
    <w:tmpl w:val="1EBEB0A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39243F"/>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873B5"/>
    <w:multiLevelType w:val="hybridMultilevel"/>
    <w:tmpl w:val="FB5A5F6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65278B"/>
    <w:multiLevelType w:val="hybridMultilevel"/>
    <w:tmpl w:val="9A6A398A"/>
    <w:lvl w:ilvl="0" w:tplc="04070001">
      <w:start w:val="1"/>
      <w:numFmt w:val="bullet"/>
      <w:lvlText w:val=""/>
      <w:lvlJc w:val="left"/>
      <w:pPr>
        <w:ind w:left="1185" w:hanging="360"/>
      </w:pPr>
      <w:rPr>
        <w:rFonts w:ascii="Symbol" w:hAnsi="Symbol" w:hint="default"/>
      </w:rPr>
    </w:lvl>
    <w:lvl w:ilvl="1" w:tplc="04070003">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6" w15:restartNumberingAfterBreak="0">
    <w:nsid w:val="1A166861"/>
    <w:multiLevelType w:val="hybridMultilevel"/>
    <w:tmpl w:val="5DD8BC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7338B7"/>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841DE"/>
    <w:multiLevelType w:val="multilevel"/>
    <w:tmpl w:val="AC4A2E76"/>
    <w:lvl w:ilvl="0">
      <w:start w:val="2"/>
      <w:numFmt w:val="decimal"/>
      <w:lvlText w:val="%1."/>
      <w:lvlJc w:val="left"/>
      <w:pPr>
        <w:ind w:left="360" w:hanging="360"/>
      </w:pPr>
      <w:rPr>
        <w:rFonts w:hint="default"/>
      </w:rPr>
    </w:lvl>
    <w:lvl w:ilvl="1">
      <w:start w:val="1"/>
      <w:numFmt w:val="decimal"/>
      <w:lvlText w:val="%1.%2."/>
      <w:lvlJc w:val="left"/>
      <w:pPr>
        <w:ind w:left="8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71C16"/>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556CB"/>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010D7"/>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714930"/>
    <w:multiLevelType w:val="hybridMultilevel"/>
    <w:tmpl w:val="F30CB03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8C2E27"/>
    <w:multiLevelType w:val="hybridMultilevel"/>
    <w:tmpl w:val="827AFA1A"/>
    <w:lvl w:ilvl="0" w:tplc="F0BAC5E4">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BF64BD"/>
    <w:multiLevelType w:val="hybridMultilevel"/>
    <w:tmpl w:val="D1C89A14"/>
    <w:lvl w:ilvl="0" w:tplc="407A0DC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EE3646"/>
    <w:multiLevelType w:val="multilevel"/>
    <w:tmpl w:val="10DAD0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B135E4"/>
    <w:multiLevelType w:val="hybridMultilevel"/>
    <w:tmpl w:val="AA10D4B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623713"/>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150348"/>
    <w:multiLevelType w:val="hybridMultilevel"/>
    <w:tmpl w:val="046CED4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824AC4"/>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444162"/>
    <w:multiLevelType w:val="hybridMultilevel"/>
    <w:tmpl w:val="0BC49BDA"/>
    <w:lvl w:ilvl="0" w:tplc="F7D8AC1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0F38AC"/>
    <w:multiLevelType w:val="hybridMultilevel"/>
    <w:tmpl w:val="C5FAB3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66A1B08"/>
    <w:multiLevelType w:val="hybridMultilevel"/>
    <w:tmpl w:val="CAEA1B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9E0F19"/>
    <w:multiLevelType w:val="multilevel"/>
    <w:tmpl w:val="A7167E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DA4C08"/>
    <w:multiLevelType w:val="multilevel"/>
    <w:tmpl w:val="6E8A363C"/>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5A4A2E"/>
    <w:multiLevelType w:val="hybridMultilevel"/>
    <w:tmpl w:val="CAEA1B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5F6BCF"/>
    <w:multiLevelType w:val="multilevel"/>
    <w:tmpl w:val="0180FA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C855BD"/>
    <w:multiLevelType w:val="multilevel"/>
    <w:tmpl w:val="AC4A2E7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A74D6D"/>
    <w:multiLevelType w:val="multilevel"/>
    <w:tmpl w:val="C930C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881B33"/>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BC2F01"/>
    <w:multiLevelType w:val="multilevel"/>
    <w:tmpl w:val="03EC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B25C01"/>
    <w:multiLevelType w:val="hybridMultilevel"/>
    <w:tmpl w:val="C1C8B64A"/>
    <w:lvl w:ilvl="0" w:tplc="0407000F">
      <w:start w:val="1"/>
      <w:numFmt w:val="decimal"/>
      <w:lvlText w:val="%1."/>
      <w:lvlJc w:val="left"/>
      <w:pPr>
        <w:ind w:left="681" w:hanging="360"/>
      </w:pPr>
    </w:lvl>
    <w:lvl w:ilvl="1" w:tplc="04070019" w:tentative="1">
      <w:start w:val="1"/>
      <w:numFmt w:val="lowerLetter"/>
      <w:lvlText w:val="%2."/>
      <w:lvlJc w:val="left"/>
      <w:pPr>
        <w:ind w:left="1401" w:hanging="360"/>
      </w:pPr>
    </w:lvl>
    <w:lvl w:ilvl="2" w:tplc="0407001B" w:tentative="1">
      <w:start w:val="1"/>
      <w:numFmt w:val="lowerRoman"/>
      <w:lvlText w:val="%3."/>
      <w:lvlJc w:val="right"/>
      <w:pPr>
        <w:ind w:left="2121" w:hanging="180"/>
      </w:pPr>
    </w:lvl>
    <w:lvl w:ilvl="3" w:tplc="0407000F" w:tentative="1">
      <w:start w:val="1"/>
      <w:numFmt w:val="decimal"/>
      <w:lvlText w:val="%4."/>
      <w:lvlJc w:val="left"/>
      <w:pPr>
        <w:ind w:left="2841" w:hanging="360"/>
      </w:pPr>
    </w:lvl>
    <w:lvl w:ilvl="4" w:tplc="04070019" w:tentative="1">
      <w:start w:val="1"/>
      <w:numFmt w:val="lowerLetter"/>
      <w:lvlText w:val="%5."/>
      <w:lvlJc w:val="left"/>
      <w:pPr>
        <w:ind w:left="3561" w:hanging="360"/>
      </w:pPr>
    </w:lvl>
    <w:lvl w:ilvl="5" w:tplc="0407001B" w:tentative="1">
      <w:start w:val="1"/>
      <w:numFmt w:val="lowerRoman"/>
      <w:lvlText w:val="%6."/>
      <w:lvlJc w:val="right"/>
      <w:pPr>
        <w:ind w:left="4281" w:hanging="180"/>
      </w:pPr>
    </w:lvl>
    <w:lvl w:ilvl="6" w:tplc="0407000F" w:tentative="1">
      <w:start w:val="1"/>
      <w:numFmt w:val="decimal"/>
      <w:lvlText w:val="%7."/>
      <w:lvlJc w:val="left"/>
      <w:pPr>
        <w:ind w:left="5001" w:hanging="360"/>
      </w:pPr>
    </w:lvl>
    <w:lvl w:ilvl="7" w:tplc="04070019" w:tentative="1">
      <w:start w:val="1"/>
      <w:numFmt w:val="lowerLetter"/>
      <w:lvlText w:val="%8."/>
      <w:lvlJc w:val="left"/>
      <w:pPr>
        <w:ind w:left="5721" w:hanging="360"/>
      </w:pPr>
    </w:lvl>
    <w:lvl w:ilvl="8" w:tplc="0407001B" w:tentative="1">
      <w:start w:val="1"/>
      <w:numFmt w:val="lowerRoman"/>
      <w:lvlText w:val="%9."/>
      <w:lvlJc w:val="right"/>
      <w:pPr>
        <w:ind w:left="6441" w:hanging="180"/>
      </w:pPr>
    </w:lvl>
  </w:abstractNum>
  <w:abstractNum w:abstractNumId="32" w15:restartNumberingAfterBreak="0">
    <w:nsid w:val="5EC919A0"/>
    <w:multiLevelType w:val="hybridMultilevel"/>
    <w:tmpl w:val="50E253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B47F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2E6B22"/>
    <w:multiLevelType w:val="multilevel"/>
    <w:tmpl w:val="E3DE6C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8E4AA6"/>
    <w:multiLevelType w:val="hybridMultilevel"/>
    <w:tmpl w:val="213A32B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8A530A"/>
    <w:multiLevelType w:val="multilevel"/>
    <w:tmpl w:val="6E8A363C"/>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1A693A"/>
    <w:multiLevelType w:val="multilevel"/>
    <w:tmpl w:val="953A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1250B"/>
    <w:multiLevelType w:val="hybridMultilevel"/>
    <w:tmpl w:val="A1B62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510B6A"/>
    <w:multiLevelType w:val="hybridMultilevel"/>
    <w:tmpl w:val="8F4A9F7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F662CC"/>
    <w:multiLevelType w:val="hybridMultilevel"/>
    <w:tmpl w:val="0F9632C2"/>
    <w:lvl w:ilvl="0" w:tplc="6580738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5E24CA"/>
    <w:multiLevelType w:val="hybridMultilevel"/>
    <w:tmpl w:val="0340F8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34"/>
  </w:num>
  <w:num w:numId="4">
    <w:abstractNumId w:val="42"/>
  </w:num>
  <w:num w:numId="5">
    <w:abstractNumId w:val="36"/>
  </w:num>
  <w:num w:numId="6">
    <w:abstractNumId w:val="2"/>
  </w:num>
  <w:num w:numId="7">
    <w:abstractNumId w:val="40"/>
  </w:num>
  <w:num w:numId="8">
    <w:abstractNumId w:val="12"/>
  </w:num>
  <w:num w:numId="9">
    <w:abstractNumId w:val="4"/>
  </w:num>
  <w:num w:numId="10">
    <w:abstractNumId w:val="9"/>
  </w:num>
  <w:num w:numId="11">
    <w:abstractNumId w:val="44"/>
  </w:num>
  <w:num w:numId="12">
    <w:abstractNumId w:val="16"/>
  </w:num>
  <w:num w:numId="13">
    <w:abstractNumId w:val="30"/>
  </w:num>
  <w:num w:numId="14">
    <w:abstractNumId w:val="29"/>
  </w:num>
  <w:num w:numId="15">
    <w:abstractNumId w:val="8"/>
  </w:num>
  <w:num w:numId="16">
    <w:abstractNumId w:val="27"/>
  </w:num>
  <w:num w:numId="17">
    <w:abstractNumId w:val="7"/>
  </w:num>
  <w:num w:numId="18">
    <w:abstractNumId w:val="24"/>
  </w:num>
  <w:num w:numId="19">
    <w:abstractNumId w:val="10"/>
  </w:num>
  <w:num w:numId="20">
    <w:abstractNumId w:val="3"/>
  </w:num>
  <w:num w:numId="21">
    <w:abstractNumId w:val="15"/>
  </w:num>
  <w:num w:numId="22">
    <w:abstractNumId w:val="0"/>
  </w:num>
  <w:num w:numId="23">
    <w:abstractNumId w:val="22"/>
  </w:num>
  <w:num w:numId="24">
    <w:abstractNumId w:val="14"/>
  </w:num>
  <w:num w:numId="25">
    <w:abstractNumId w:val="6"/>
  </w:num>
  <w:num w:numId="26">
    <w:abstractNumId w:val="39"/>
  </w:num>
  <w:num w:numId="27">
    <w:abstractNumId w:val="43"/>
  </w:num>
  <w:num w:numId="28">
    <w:abstractNumId w:val="18"/>
  </w:num>
  <w:num w:numId="29">
    <w:abstractNumId w:val="20"/>
  </w:num>
  <w:num w:numId="30">
    <w:abstractNumId w:val="25"/>
  </w:num>
  <w:num w:numId="31">
    <w:abstractNumId w:val="13"/>
  </w:num>
  <w:num w:numId="32">
    <w:abstractNumId w:val="17"/>
  </w:num>
  <w:num w:numId="33">
    <w:abstractNumId w:val="19"/>
  </w:num>
  <w:num w:numId="34">
    <w:abstractNumId w:val="23"/>
  </w:num>
  <w:num w:numId="35">
    <w:abstractNumId w:val="35"/>
  </w:num>
  <w:num w:numId="36">
    <w:abstractNumId w:val="5"/>
  </w:num>
  <w:num w:numId="37">
    <w:abstractNumId w:val="21"/>
  </w:num>
  <w:num w:numId="38">
    <w:abstractNumId w:val="26"/>
  </w:num>
  <w:num w:numId="39">
    <w:abstractNumId w:val="28"/>
  </w:num>
  <w:num w:numId="40">
    <w:abstractNumId w:val="11"/>
  </w:num>
  <w:num w:numId="41">
    <w:abstractNumId w:val="38"/>
  </w:num>
  <w:num w:numId="42">
    <w:abstractNumId w:val="32"/>
  </w:num>
  <w:num w:numId="43">
    <w:abstractNumId w:val="33"/>
  </w:num>
  <w:num w:numId="44">
    <w:abstractNumId w:val="31"/>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CB"/>
    <w:rsid w:val="00007828"/>
    <w:rsid w:val="0001769F"/>
    <w:rsid w:val="0003098D"/>
    <w:rsid w:val="00043747"/>
    <w:rsid w:val="00043943"/>
    <w:rsid w:val="000461B4"/>
    <w:rsid w:val="00055D7B"/>
    <w:rsid w:val="000762CD"/>
    <w:rsid w:val="00077260"/>
    <w:rsid w:val="0008416D"/>
    <w:rsid w:val="0008742B"/>
    <w:rsid w:val="00095D60"/>
    <w:rsid w:val="000A334F"/>
    <w:rsid w:val="000B0ED6"/>
    <w:rsid w:val="000D1512"/>
    <w:rsid w:val="000D2A31"/>
    <w:rsid w:val="000E4281"/>
    <w:rsid w:val="00122DED"/>
    <w:rsid w:val="001244D9"/>
    <w:rsid w:val="00141AFA"/>
    <w:rsid w:val="00167119"/>
    <w:rsid w:val="001723CE"/>
    <w:rsid w:val="00172E8F"/>
    <w:rsid w:val="001A6D81"/>
    <w:rsid w:val="001A6FE4"/>
    <w:rsid w:val="001A7001"/>
    <w:rsid w:val="001C6C58"/>
    <w:rsid w:val="001D00C9"/>
    <w:rsid w:val="001D2F87"/>
    <w:rsid w:val="001D3D91"/>
    <w:rsid w:val="001E04CE"/>
    <w:rsid w:val="001E05A1"/>
    <w:rsid w:val="001E252E"/>
    <w:rsid w:val="001E7C5A"/>
    <w:rsid w:val="0022626C"/>
    <w:rsid w:val="002310AB"/>
    <w:rsid w:val="00267130"/>
    <w:rsid w:val="00280917"/>
    <w:rsid w:val="002836FC"/>
    <w:rsid w:val="002A12F5"/>
    <w:rsid w:val="002A6385"/>
    <w:rsid w:val="002C30A7"/>
    <w:rsid w:val="002C3E00"/>
    <w:rsid w:val="002C49D8"/>
    <w:rsid w:val="002D4EBD"/>
    <w:rsid w:val="002F0982"/>
    <w:rsid w:val="002F35F7"/>
    <w:rsid w:val="0030729E"/>
    <w:rsid w:val="00311ACB"/>
    <w:rsid w:val="00315FBF"/>
    <w:rsid w:val="003313DC"/>
    <w:rsid w:val="0035468D"/>
    <w:rsid w:val="00356398"/>
    <w:rsid w:val="003A031B"/>
    <w:rsid w:val="003A4A4A"/>
    <w:rsid w:val="003C22FE"/>
    <w:rsid w:val="003E6960"/>
    <w:rsid w:val="003E73F7"/>
    <w:rsid w:val="003F01D4"/>
    <w:rsid w:val="003F30E4"/>
    <w:rsid w:val="003F5873"/>
    <w:rsid w:val="00410B5E"/>
    <w:rsid w:val="004212D4"/>
    <w:rsid w:val="004274BE"/>
    <w:rsid w:val="00430A4C"/>
    <w:rsid w:val="00431EFA"/>
    <w:rsid w:val="004331BB"/>
    <w:rsid w:val="004419BF"/>
    <w:rsid w:val="004663EE"/>
    <w:rsid w:val="00476E07"/>
    <w:rsid w:val="00482EB9"/>
    <w:rsid w:val="004B6205"/>
    <w:rsid w:val="004D365F"/>
    <w:rsid w:val="004D3822"/>
    <w:rsid w:val="004F29CE"/>
    <w:rsid w:val="0050766E"/>
    <w:rsid w:val="005132FC"/>
    <w:rsid w:val="00527239"/>
    <w:rsid w:val="00542E88"/>
    <w:rsid w:val="00546AD6"/>
    <w:rsid w:val="00560F7D"/>
    <w:rsid w:val="0057123C"/>
    <w:rsid w:val="00576BD2"/>
    <w:rsid w:val="00580956"/>
    <w:rsid w:val="0058195F"/>
    <w:rsid w:val="005857EA"/>
    <w:rsid w:val="00594802"/>
    <w:rsid w:val="00596797"/>
    <w:rsid w:val="005B0CC3"/>
    <w:rsid w:val="005B2EA7"/>
    <w:rsid w:val="005B74C1"/>
    <w:rsid w:val="005C74A8"/>
    <w:rsid w:val="005C7EF9"/>
    <w:rsid w:val="005D285E"/>
    <w:rsid w:val="005F7292"/>
    <w:rsid w:val="006137B7"/>
    <w:rsid w:val="006262C4"/>
    <w:rsid w:val="00650E86"/>
    <w:rsid w:val="00680C26"/>
    <w:rsid w:val="006902B4"/>
    <w:rsid w:val="006925C1"/>
    <w:rsid w:val="006E2509"/>
    <w:rsid w:val="006E3AAA"/>
    <w:rsid w:val="00710CF7"/>
    <w:rsid w:val="0071185B"/>
    <w:rsid w:val="00735A8C"/>
    <w:rsid w:val="00740C10"/>
    <w:rsid w:val="00747FE9"/>
    <w:rsid w:val="00772A3B"/>
    <w:rsid w:val="007A1F83"/>
    <w:rsid w:val="007B3511"/>
    <w:rsid w:val="007C7FA9"/>
    <w:rsid w:val="007D7305"/>
    <w:rsid w:val="00804259"/>
    <w:rsid w:val="0080649C"/>
    <w:rsid w:val="00811705"/>
    <w:rsid w:val="0081524A"/>
    <w:rsid w:val="00831D8D"/>
    <w:rsid w:val="0087233F"/>
    <w:rsid w:val="00876701"/>
    <w:rsid w:val="0088614C"/>
    <w:rsid w:val="00887EC1"/>
    <w:rsid w:val="008A1C9E"/>
    <w:rsid w:val="008A4C40"/>
    <w:rsid w:val="008A7435"/>
    <w:rsid w:val="008B3C83"/>
    <w:rsid w:val="008B6000"/>
    <w:rsid w:val="008D0A9A"/>
    <w:rsid w:val="008F05E6"/>
    <w:rsid w:val="008F0D3D"/>
    <w:rsid w:val="008F35E2"/>
    <w:rsid w:val="008F422E"/>
    <w:rsid w:val="008F66D8"/>
    <w:rsid w:val="00916EA4"/>
    <w:rsid w:val="009200DD"/>
    <w:rsid w:val="00945B29"/>
    <w:rsid w:val="00970F1D"/>
    <w:rsid w:val="00983126"/>
    <w:rsid w:val="00990E7B"/>
    <w:rsid w:val="0099158E"/>
    <w:rsid w:val="009A2C2D"/>
    <w:rsid w:val="009D0EBA"/>
    <w:rsid w:val="009D666A"/>
    <w:rsid w:val="009E522E"/>
    <w:rsid w:val="009E63D2"/>
    <w:rsid w:val="00A25EA6"/>
    <w:rsid w:val="00A447F8"/>
    <w:rsid w:val="00A549E0"/>
    <w:rsid w:val="00A71746"/>
    <w:rsid w:val="00A86D1B"/>
    <w:rsid w:val="00AA5CD9"/>
    <w:rsid w:val="00AA6726"/>
    <w:rsid w:val="00AB797F"/>
    <w:rsid w:val="00AC096C"/>
    <w:rsid w:val="00AC3645"/>
    <w:rsid w:val="00AE0574"/>
    <w:rsid w:val="00AF4C0B"/>
    <w:rsid w:val="00B363B8"/>
    <w:rsid w:val="00B41054"/>
    <w:rsid w:val="00B41C2C"/>
    <w:rsid w:val="00B54BC0"/>
    <w:rsid w:val="00B55155"/>
    <w:rsid w:val="00B64AB0"/>
    <w:rsid w:val="00B80849"/>
    <w:rsid w:val="00B8678B"/>
    <w:rsid w:val="00B96640"/>
    <w:rsid w:val="00BA1C63"/>
    <w:rsid w:val="00BB006A"/>
    <w:rsid w:val="00BC154F"/>
    <w:rsid w:val="00BC3BB9"/>
    <w:rsid w:val="00BD6182"/>
    <w:rsid w:val="00BE5EBE"/>
    <w:rsid w:val="00BF6F24"/>
    <w:rsid w:val="00C016C3"/>
    <w:rsid w:val="00C026BC"/>
    <w:rsid w:val="00C04840"/>
    <w:rsid w:val="00C1665F"/>
    <w:rsid w:val="00C16D92"/>
    <w:rsid w:val="00C20CF2"/>
    <w:rsid w:val="00C276FE"/>
    <w:rsid w:val="00C35FA4"/>
    <w:rsid w:val="00C374B7"/>
    <w:rsid w:val="00C57F85"/>
    <w:rsid w:val="00C64AE0"/>
    <w:rsid w:val="00C91E86"/>
    <w:rsid w:val="00C93AE4"/>
    <w:rsid w:val="00CB4AF0"/>
    <w:rsid w:val="00CC3E38"/>
    <w:rsid w:val="00CD2123"/>
    <w:rsid w:val="00CD4A79"/>
    <w:rsid w:val="00CF6D06"/>
    <w:rsid w:val="00D133DC"/>
    <w:rsid w:val="00D15EC6"/>
    <w:rsid w:val="00D2701E"/>
    <w:rsid w:val="00D45A82"/>
    <w:rsid w:val="00D70147"/>
    <w:rsid w:val="00D76FDF"/>
    <w:rsid w:val="00D907C4"/>
    <w:rsid w:val="00DA2C19"/>
    <w:rsid w:val="00DC22D5"/>
    <w:rsid w:val="00DC3E3D"/>
    <w:rsid w:val="00DD0D53"/>
    <w:rsid w:val="00DD77CA"/>
    <w:rsid w:val="00DE375E"/>
    <w:rsid w:val="00DE47DE"/>
    <w:rsid w:val="00E02E8D"/>
    <w:rsid w:val="00E04DD6"/>
    <w:rsid w:val="00E07408"/>
    <w:rsid w:val="00E26A19"/>
    <w:rsid w:val="00E27490"/>
    <w:rsid w:val="00E3735C"/>
    <w:rsid w:val="00E43D1B"/>
    <w:rsid w:val="00E61664"/>
    <w:rsid w:val="00E637DE"/>
    <w:rsid w:val="00E64640"/>
    <w:rsid w:val="00E727E2"/>
    <w:rsid w:val="00E80AF1"/>
    <w:rsid w:val="00E8494A"/>
    <w:rsid w:val="00E84B87"/>
    <w:rsid w:val="00E865DE"/>
    <w:rsid w:val="00E90A29"/>
    <w:rsid w:val="00E935DC"/>
    <w:rsid w:val="00E95E7F"/>
    <w:rsid w:val="00E96413"/>
    <w:rsid w:val="00EB7620"/>
    <w:rsid w:val="00EC2D68"/>
    <w:rsid w:val="00ED2498"/>
    <w:rsid w:val="00F01537"/>
    <w:rsid w:val="00F13B67"/>
    <w:rsid w:val="00F161FF"/>
    <w:rsid w:val="00F2779A"/>
    <w:rsid w:val="00F341B0"/>
    <w:rsid w:val="00F528B5"/>
    <w:rsid w:val="00F56FF6"/>
    <w:rsid w:val="00F61AE2"/>
    <w:rsid w:val="00F65C6C"/>
    <w:rsid w:val="00F665EA"/>
    <w:rsid w:val="00F70433"/>
    <w:rsid w:val="00F71F23"/>
    <w:rsid w:val="00F745ED"/>
    <w:rsid w:val="00F9035D"/>
    <w:rsid w:val="00FA51D1"/>
    <w:rsid w:val="00FB46C2"/>
    <w:rsid w:val="00FD4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49E35"/>
  <w15:docId w15:val="{637267D3-63D9-4C36-9D40-F761EFC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E865DE"/>
    <w:rPr>
      <w:color w:val="0000FF" w:themeColor="hyperlink"/>
      <w:u w:val="single"/>
    </w:rPr>
  </w:style>
  <w:style w:type="character" w:styleId="BesuchterLink">
    <w:name w:val="FollowedHyperlink"/>
    <w:basedOn w:val="Absatz-Standardschriftart"/>
    <w:uiPriority w:val="99"/>
    <w:semiHidden/>
    <w:unhideWhenUsed/>
    <w:rsid w:val="00772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erheitswesen-umweltschutz.newsletter.uni-goettingen.de/2019/05/13/risikobewertung-und-aufzeichnung-gent-arbeit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erheitswesen-umweltschutz.newsletter.uni-goettingen.de/2018/02/15/der-hygieneplan-im-labor-die-richtige-wahl-der-desinfektionsmitt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2A46-DA29-4469-AF8F-E91BBDE9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6385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3</cp:revision>
  <cp:lastPrinted>2017-04-25T16:01:00Z</cp:lastPrinted>
  <dcterms:created xsi:type="dcterms:W3CDTF">2023-05-30T08:04:00Z</dcterms:created>
  <dcterms:modified xsi:type="dcterms:W3CDTF">2023-05-30T08:36:00Z</dcterms:modified>
</cp:coreProperties>
</file>