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6B8A332A" w:rsidR="0042385F" w:rsidRDefault="00B70664" w:rsidP="004B0D19">
      <w:pPr>
        <w:pStyle w:val="berschrift1"/>
      </w:pPr>
      <w:r>
        <w:t xml:space="preserve">Unterschiedliche </w:t>
      </w:r>
      <w:r w:rsidR="00832330">
        <w:t>K</w:t>
      </w:r>
      <w:r>
        <w:t xml:space="preserve">odierungen </w:t>
      </w:r>
      <w:r w:rsidR="00AB7D56">
        <w:t>von Daten</w:t>
      </w:r>
    </w:p>
    <w:p w14:paraId="79ED6825" w14:textId="77777777" w:rsidR="0054239A" w:rsidRDefault="0054239A" w:rsidP="00B70664"/>
    <w:p w14:paraId="193304A0" w14:textId="7B3D5A61" w:rsidR="00B70664" w:rsidRDefault="0054239A" w:rsidP="00B70664">
      <w:r>
        <w:t xml:space="preserve">Die gleichen </w:t>
      </w:r>
      <w:r w:rsidR="00AB7D56">
        <w:t>Daten</w:t>
      </w:r>
      <w:r>
        <w:t xml:space="preserve"> können auf ganz unterschiedliche Art und Weise </w:t>
      </w:r>
      <w:r w:rsidR="00832330">
        <w:t>k</w:t>
      </w:r>
      <w:r>
        <w:t xml:space="preserve">odiert werden. So entspricht beispielsweise der Buchstabe A als ASCII-Code der Dezimalzahl 65, der Hexadezimalzahl 41 oder der Dualzahl 1000001. Es gibt eine Vielzahl weiterer Kodierungen von Zeichen, üblich ist beispielsweise auch der sogenannte Unicode. In den folgenden Aufgaben wird neben diesen üblichen Kodierungen von Zeichen auch eine eher ungewöhnliche Kodierungsart verwendet: die Umwandlung in eine Art Farbcode. </w:t>
      </w:r>
    </w:p>
    <w:p w14:paraId="57DC25FA" w14:textId="5199AAD5" w:rsidR="00B70664" w:rsidRPr="00F71D2B" w:rsidRDefault="00295FB8" w:rsidP="00B70664">
      <w:pPr>
        <w:rPr>
          <w:rStyle w:val="IntensiveHervorhebung"/>
          <w:i w:val="0"/>
          <w:iCs w:val="0"/>
        </w:rPr>
      </w:pPr>
      <w:r w:rsidRPr="00F71D2B">
        <w:rPr>
          <w:rStyle w:val="IntensiveHervorhebung"/>
          <w:i w:val="0"/>
          <w:iCs w:val="0"/>
        </w:rPr>
        <w:t>Aufgaben</w:t>
      </w:r>
    </w:p>
    <w:p w14:paraId="5C8091EA" w14:textId="01C284F3" w:rsidR="004F07DF" w:rsidRDefault="00295FB8" w:rsidP="004F07DF">
      <w:pPr>
        <w:pStyle w:val="Listenabsatz"/>
        <w:keepNext/>
        <w:numPr>
          <w:ilvl w:val="0"/>
          <w:numId w:val="26"/>
        </w:numPr>
      </w:pPr>
      <w:r>
        <w:t>Analysieren Sie den Quelltext des in</w:t>
      </w:r>
      <w:r w:rsidR="004F07DF">
        <w:t xml:space="preserve"> </w:t>
      </w:r>
      <w:r w:rsidR="004F07DF">
        <w:fldChar w:fldCharType="begin"/>
      </w:r>
      <w:r w:rsidR="004F07DF">
        <w:instrText xml:space="preserve"> REF _Ref41309557 \h </w:instrText>
      </w:r>
      <w:r w:rsidR="004F07DF">
        <w:fldChar w:fldCharType="separate"/>
      </w:r>
      <w:r w:rsidR="00E430B6">
        <w:t xml:space="preserve">Abbildung </w:t>
      </w:r>
      <w:r w:rsidR="00E430B6">
        <w:rPr>
          <w:noProof/>
        </w:rPr>
        <w:t>1</w:t>
      </w:r>
      <w:r w:rsidR="004F07DF">
        <w:fldChar w:fldCharType="end"/>
      </w:r>
      <w:r>
        <w:t xml:space="preserve"> dargestellten </w:t>
      </w:r>
      <w:proofErr w:type="gramStart"/>
      <w:r>
        <w:t>Snap!-</w:t>
      </w:r>
      <w:proofErr w:type="gramEnd"/>
      <w:r>
        <w:t>Programms</w:t>
      </w:r>
      <w:r w:rsidR="00D2352E">
        <w:t xml:space="preserve"> und formulieren Sie eine Vermutung über die Funktionalität.</w:t>
      </w:r>
      <w:r w:rsidR="00EE258D">
        <w:rPr>
          <w:noProof/>
        </w:rPr>
        <w:drawing>
          <wp:inline distT="0" distB="0" distL="0" distR="0" wp14:anchorId="022C2E8A" wp14:editId="100247BA">
            <wp:extent cx="4548146" cy="3166456"/>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me_als_rgb script pic.png"/>
                    <pic:cNvPicPr/>
                  </pic:nvPicPr>
                  <pic:blipFill>
                    <a:blip r:embed="rId8">
                      <a:extLst>
                        <a:ext uri="{28A0092B-C50C-407E-A947-70E740481C1C}">
                          <a14:useLocalDpi xmlns:a14="http://schemas.microsoft.com/office/drawing/2010/main" val="0"/>
                        </a:ext>
                      </a:extLst>
                    </a:blip>
                    <a:stretch>
                      <a:fillRect/>
                    </a:stretch>
                  </pic:blipFill>
                  <pic:spPr>
                    <a:xfrm>
                      <a:off x="0" y="0"/>
                      <a:ext cx="4612546" cy="3211292"/>
                    </a:xfrm>
                    <a:prstGeom prst="rect">
                      <a:avLst/>
                    </a:prstGeom>
                  </pic:spPr>
                </pic:pic>
              </a:graphicData>
            </a:graphic>
          </wp:inline>
        </w:drawing>
      </w:r>
    </w:p>
    <w:p w14:paraId="0F3B9FB9" w14:textId="2000282E" w:rsidR="00295FB8" w:rsidRDefault="004F07DF" w:rsidP="004F07DF">
      <w:pPr>
        <w:pStyle w:val="Beschriftung"/>
        <w:jc w:val="center"/>
      </w:pPr>
      <w:bookmarkStart w:id="0" w:name="_Ref41309557"/>
      <w:r>
        <w:t xml:space="preserve">Abbildung </w:t>
      </w:r>
      <w:fldSimple w:instr=" SEQ Abbildung \* ARABIC ">
        <w:r w:rsidR="00E430B6">
          <w:rPr>
            <w:noProof/>
          </w:rPr>
          <w:t>1</w:t>
        </w:r>
      </w:fldSimple>
      <w:bookmarkEnd w:id="0"/>
    </w:p>
    <w:p w14:paraId="730C2080" w14:textId="1DFD1728" w:rsidR="00B70664" w:rsidRDefault="00EF3552" w:rsidP="00EF3552">
      <w:pPr>
        <w:pStyle w:val="Listenabsatz"/>
        <w:numPr>
          <w:ilvl w:val="0"/>
          <w:numId w:val="26"/>
        </w:numPr>
      </w:pPr>
      <w:r>
        <w:t>Starten Sie</w:t>
      </w:r>
      <w:r w:rsidR="00E72A05">
        <w:t xml:space="preserve"> anschließend</w:t>
      </w:r>
      <w:r>
        <w:t xml:space="preserve"> das Programm </w:t>
      </w:r>
      <w:r w:rsidRPr="00EF3552">
        <w:rPr>
          <w:rFonts w:ascii="Courier New" w:hAnsi="Courier New" w:cs="Courier New"/>
        </w:rPr>
        <w:t xml:space="preserve">name_als_rgb.xml </w:t>
      </w:r>
      <w:r>
        <w:t>mit verschiedenen Eingaben. Vergleichen Sie die Ergebnisse mit Ihren Überlegungen zu Aufgabe 1).</w:t>
      </w:r>
    </w:p>
    <w:p w14:paraId="1408799B" w14:textId="7576DF0B" w:rsidR="00EE258D" w:rsidRDefault="00EE258D" w:rsidP="00EF3552">
      <w:pPr>
        <w:pStyle w:val="Listenabsatz"/>
        <w:numPr>
          <w:ilvl w:val="0"/>
          <w:numId w:val="26"/>
        </w:numPr>
      </w:pPr>
      <w:r>
        <w:t>Fassen Sie stichpunktartig zusammen, wie Farben mittels des RGB-Modells dargestellt werden.</w:t>
      </w:r>
    </w:p>
    <w:p w14:paraId="6C579005" w14:textId="19A34FA5" w:rsidR="00EE258D" w:rsidRDefault="00EE258D" w:rsidP="00EF3552">
      <w:pPr>
        <w:pStyle w:val="Listenabsatz"/>
        <w:numPr>
          <w:ilvl w:val="0"/>
          <w:numId w:val="26"/>
        </w:numPr>
      </w:pPr>
      <w:r>
        <w:t xml:space="preserve">Erklären Sie kurz, </w:t>
      </w:r>
      <w:r w:rsidR="00EF53F1">
        <w:t>was ein ASCII-Code ist</w:t>
      </w:r>
      <w:r>
        <w:t xml:space="preserve"> und stellen Sie einen Zusammenhang zum Baustein </w:t>
      </w:r>
      <w:r>
        <w:rPr>
          <w:noProof/>
        </w:rPr>
        <w:drawing>
          <wp:inline distT="0" distB="0" distL="0" distR="0" wp14:anchorId="5E83B055" wp14:editId="7D108ECF">
            <wp:extent cx="1719618" cy="185686"/>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_unicode.png"/>
                    <pic:cNvPicPr/>
                  </pic:nvPicPr>
                  <pic:blipFill>
                    <a:blip r:embed="rId9">
                      <a:extLst>
                        <a:ext uri="{28A0092B-C50C-407E-A947-70E740481C1C}">
                          <a14:useLocalDpi xmlns:a14="http://schemas.microsoft.com/office/drawing/2010/main" val="0"/>
                        </a:ext>
                      </a:extLst>
                    </a:blip>
                    <a:stretch>
                      <a:fillRect/>
                    </a:stretch>
                  </pic:blipFill>
                  <pic:spPr>
                    <a:xfrm>
                      <a:off x="0" y="0"/>
                      <a:ext cx="2085280" cy="225171"/>
                    </a:xfrm>
                    <a:prstGeom prst="rect">
                      <a:avLst/>
                    </a:prstGeom>
                  </pic:spPr>
                </pic:pic>
              </a:graphicData>
            </a:graphic>
          </wp:inline>
        </w:drawing>
      </w:r>
      <w:r>
        <w:t xml:space="preserve"> her.</w:t>
      </w:r>
    </w:p>
    <w:p w14:paraId="1144B135" w14:textId="18F2AB42" w:rsidR="00EE258D" w:rsidRDefault="00EE258D" w:rsidP="00EF3552">
      <w:pPr>
        <w:pStyle w:val="Listenabsatz"/>
        <w:numPr>
          <w:ilvl w:val="0"/>
          <w:numId w:val="26"/>
        </w:numPr>
      </w:pPr>
      <w:r>
        <w:t xml:space="preserve">Ändern Sie den Quelltext des Programms </w:t>
      </w:r>
      <w:r w:rsidRPr="00B16944">
        <w:rPr>
          <w:rFonts w:ascii="Courier New" w:hAnsi="Courier New" w:cs="Courier New"/>
        </w:rPr>
        <w:t>name_als_rgb.xml</w:t>
      </w:r>
      <w:r>
        <w:t xml:space="preserve"> so, dass der eingegebene Text in anderen Farben dargestellt wird. </w:t>
      </w:r>
    </w:p>
    <w:p w14:paraId="30A0D0AE" w14:textId="16BEDFD3" w:rsidR="00EE258D" w:rsidRDefault="00EE258D" w:rsidP="00EF3552">
      <w:pPr>
        <w:pStyle w:val="Listenabsatz"/>
        <w:numPr>
          <w:ilvl w:val="0"/>
          <w:numId w:val="26"/>
        </w:numPr>
      </w:pPr>
      <w:r>
        <w:t xml:space="preserve">Ergänzen Sie Ihr Programm um ein weiteres Objekt, welches </w:t>
      </w:r>
      <w:r w:rsidR="00832330">
        <w:t>die</w:t>
      </w:r>
      <w:r>
        <w:t xml:space="preserve"> Farbcodierung eines Namens umkehren </w:t>
      </w:r>
      <w:r w:rsidR="00832330">
        <w:t>kann</w:t>
      </w:r>
      <w:r>
        <w:t xml:space="preserve">. </w:t>
      </w:r>
    </w:p>
    <w:p w14:paraId="2EFFFB8D" w14:textId="0B4BED17" w:rsidR="00E72A05" w:rsidRDefault="00E72A05" w:rsidP="00E72A05"/>
    <w:p w14:paraId="5A1F5D4D" w14:textId="77777777" w:rsidR="00EF53F1" w:rsidRDefault="00EF53F1" w:rsidP="00EF53F1">
      <w:pPr>
        <w:spacing w:after="160" w:line="259" w:lineRule="auto"/>
      </w:pPr>
    </w:p>
    <w:p w14:paraId="6BD37FB6" w14:textId="77777777" w:rsidR="00EF53F1" w:rsidRDefault="00EF53F1" w:rsidP="00EF53F1">
      <w:pPr>
        <w:spacing w:after="160" w:line="259" w:lineRule="auto"/>
      </w:pPr>
    </w:p>
    <w:p w14:paraId="2F04A4D7" w14:textId="77777777" w:rsidR="00EF53F1" w:rsidRDefault="00EF53F1" w:rsidP="00EF53F1">
      <w:pPr>
        <w:spacing w:after="160" w:line="259" w:lineRule="auto"/>
      </w:pPr>
    </w:p>
    <w:p w14:paraId="473AA8C9" w14:textId="5FD55686" w:rsidR="00E72A05" w:rsidRDefault="00E72A05" w:rsidP="00EF53F1">
      <w:pPr>
        <w:spacing w:after="160" w:line="259" w:lineRule="auto"/>
      </w:pPr>
      <w:r>
        <w:t xml:space="preserve">Im Skript in </w:t>
      </w:r>
      <w:r>
        <w:fldChar w:fldCharType="begin"/>
      </w:r>
      <w:r>
        <w:instrText xml:space="preserve"> REF _Ref41309557 \h </w:instrText>
      </w:r>
      <w:r>
        <w:fldChar w:fldCharType="separate"/>
      </w:r>
      <w:r w:rsidR="00E430B6">
        <w:t xml:space="preserve">Abbildung </w:t>
      </w:r>
      <w:r w:rsidR="00E430B6">
        <w:rPr>
          <w:noProof/>
        </w:rPr>
        <w:t>1</w:t>
      </w:r>
      <w:r>
        <w:fldChar w:fldCharType="end"/>
      </w:r>
      <w:r>
        <w:t xml:space="preserve"> wird der gleiche Sachverhalt auf ganz unterschiedliche Weise </w:t>
      </w:r>
      <w:r w:rsidR="005F155A">
        <w:t>k</w:t>
      </w:r>
      <w:r>
        <w:t>odiert</w:t>
      </w:r>
      <w:r w:rsidR="00485E79">
        <w:t>:</w:t>
      </w:r>
    </w:p>
    <w:tbl>
      <w:tblPr>
        <w:tblStyle w:val="Tabellenraster"/>
        <w:tblW w:w="0" w:type="auto"/>
        <w:jc w:val="center"/>
        <w:tblLook w:val="04A0" w:firstRow="1" w:lastRow="0" w:firstColumn="1" w:lastColumn="0" w:noHBand="0" w:noVBand="1"/>
      </w:tblPr>
      <w:tblGrid>
        <w:gridCol w:w="2473"/>
        <w:gridCol w:w="6229"/>
      </w:tblGrid>
      <w:tr w:rsidR="00F61699" w14:paraId="46E4DE70" w14:textId="77777777" w:rsidTr="00EF53F1">
        <w:trPr>
          <w:jc w:val="center"/>
        </w:trPr>
        <w:tc>
          <w:tcPr>
            <w:tcW w:w="2473" w:type="dxa"/>
          </w:tcPr>
          <w:p w14:paraId="23DC0749" w14:textId="441C60B3" w:rsidR="00F61699" w:rsidRDefault="005F155A" w:rsidP="00F61699">
            <w:pPr>
              <w:pStyle w:val="berschrift2"/>
              <w:outlineLvl w:val="1"/>
            </w:pPr>
            <w:r>
              <w:t>K</w:t>
            </w:r>
            <w:r w:rsidR="00F61699">
              <w:t>odierungsart</w:t>
            </w:r>
          </w:p>
        </w:tc>
        <w:tc>
          <w:tcPr>
            <w:tcW w:w="6229" w:type="dxa"/>
          </w:tcPr>
          <w:p w14:paraId="4B102EEC" w14:textId="46BB7A6D" w:rsidR="00F61699" w:rsidRDefault="00F61699" w:rsidP="00F61699">
            <w:pPr>
              <w:pStyle w:val="berschrift2"/>
              <w:outlineLvl w:val="1"/>
            </w:pPr>
            <w:r>
              <w:t>Beispiel</w:t>
            </w:r>
          </w:p>
        </w:tc>
      </w:tr>
      <w:tr w:rsidR="00F61699" w14:paraId="774ECB46" w14:textId="77777777" w:rsidTr="00EF53F1">
        <w:trPr>
          <w:jc w:val="center"/>
        </w:trPr>
        <w:tc>
          <w:tcPr>
            <w:tcW w:w="2473" w:type="dxa"/>
          </w:tcPr>
          <w:p w14:paraId="59C4574F" w14:textId="6D28EE57" w:rsidR="00E72A05" w:rsidRDefault="00E72A05" w:rsidP="00E72A05">
            <w:pPr>
              <w:pStyle w:val="Listenabsatz"/>
              <w:ind w:left="0"/>
            </w:pPr>
            <w:r>
              <w:t>als Text</w:t>
            </w:r>
          </w:p>
        </w:tc>
        <w:tc>
          <w:tcPr>
            <w:tcW w:w="6229" w:type="dxa"/>
          </w:tcPr>
          <w:p w14:paraId="5C5656DA" w14:textId="21190443" w:rsidR="00E72A05" w:rsidRDefault="00E72A05" w:rsidP="00E72A05">
            <w:pPr>
              <w:pStyle w:val="Listenabsatz"/>
              <w:ind w:left="0"/>
            </w:pPr>
            <w:r>
              <w:t>Tina Turner</w:t>
            </w:r>
          </w:p>
        </w:tc>
      </w:tr>
      <w:tr w:rsidR="00F61699" w14:paraId="4A4B8914" w14:textId="77777777" w:rsidTr="00EF53F1">
        <w:trPr>
          <w:jc w:val="center"/>
        </w:trPr>
        <w:tc>
          <w:tcPr>
            <w:tcW w:w="2473" w:type="dxa"/>
          </w:tcPr>
          <w:p w14:paraId="24D933B8" w14:textId="22F59236" w:rsidR="00E72A05" w:rsidRDefault="00E72A05" w:rsidP="00E72A05">
            <w:pPr>
              <w:pStyle w:val="Listenabsatz"/>
              <w:ind w:left="0"/>
            </w:pPr>
            <w:r>
              <w:t xml:space="preserve">als </w:t>
            </w:r>
            <w:proofErr w:type="spellStart"/>
            <w:r>
              <w:t>Ascii</w:t>
            </w:r>
            <w:proofErr w:type="spellEnd"/>
            <w:r>
              <w:t>-Code</w:t>
            </w:r>
            <w:r w:rsidR="00F61699">
              <w:t xml:space="preserve"> (dezimal)</w:t>
            </w:r>
          </w:p>
        </w:tc>
        <w:tc>
          <w:tcPr>
            <w:tcW w:w="6229" w:type="dxa"/>
          </w:tcPr>
          <w:p w14:paraId="3BA1D3EA" w14:textId="19865302" w:rsidR="00E72A05" w:rsidRDefault="00F61699" w:rsidP="00E72A05">
            <w:pPr>
              <w:pStyle w:val="Listenabsatz"/>
              <w:ind w:left="0"/>
            </w:pPr>
            <w:r>
              <w:t>84 105 110 97 32 84 117 114 110 101 114</w:t>
            </w:r>
          </w:p>
        </w:tc>
      </w:tr>
      <w:tr w:rsidR="00F61699" w14:paraId="3392F51E" w14:textId="77777777" w:rsidTr="00EF53F1">
        <w:trPr>
          <w:jc w:val="center"/>
        </w:trPr>
        <w:tc>
          <w:tcPr>
            <w:tcW w:w="2473" w:type="dxa"/>
          </w:tcPr>
          <w:p w14:paraId="4ED6B2A2" w14:textId="7B553A44" w:rsidR="00E72A05" w:rsidRDefault="00F61699" w:rsidP="00E72A05">
            <w:pPr>
              <w:pStyle w:val="Listenabsatz"/>
              <w:ind w:left="0"/>
            </w:pPr>
            <w:r>
              <w:t>als Farbfolge (Rot: 2*</w:t>
            </w:r>
            <w:proofErr w:type="spellStart"/>
            <w:r>
              <w:t>Ascii</w:t>
            </w:r>
            <w:proofErr w:type="spellEnd"/>
            <w:r>
              <w:t>-Wert, Grün:0, Blau: 2*</w:t>
            </w:r>
            <w:proofErr w:type="spellStart"/>
            <w:r>
              <w:t>Ascii</w:t>
            </w:r>
            <w:proofErr w:type="spellEnd"/>
            <w:r>
              <w:t>-Wert)</w:t>
            </w:r>
          </w:p>
        </w:tc>
        <w:tc>
          <w:tcPr>
            <w:tcW w:w="6229" w:type="dxa"/>
          </w:tcPr>
          <w:p w14:paraId="1D8FE00C" w14:textId="596E3210" w:rsidR="00E72A05" w:rsidRDefault="00F61699" w:rsidP="00E72A05">
            <w:pPr>
              <w:pStyle w:val="Listenabsatz"/>
              <w:ind w:left="0"/>
            </w:pPr>
            <w:r w:rsidRPr="00F61699">
              <w:rPr>
                <w:noProof/>
              </w:rPr>
              <w:drawing>
                <wp:inline distT="0" distB="0" distL="0" distR="0" wp14:anchorId="738374BD" wp14:editId="5137777B">
                  <wp:extent cx="3818417" cy="339415"/>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09238" cy="365266"/>
                          </a:xfrm>
                          <a:prstGeom prst="rect">
                            <a:avLst/>
                          </a:prstGeom>
                        </pic:spPr>
                      </pic:pic>
                    </a:graphicData>
                  </a:graphic>
                </wp:inline>
              </w:drawing>
            </w:r>
          </w:p>
        </w:tc>
      </w:tr>
    </w:tbl>
    <w:p w14:paraId="5A3DCE34" w14:textId="77777777" w:rsidR="00EF53F1" w:rsidRDefault="00EF53F1" w:rsidP="00EF53F1">
      <w:pPr>
        <w:pStyle w:val="Listenabsatz"/>
        <w:ind w:left="-113"/>
      </w:pPr>
    </w:p>
    <w:p w14:paraId="4B533668" w14:textId="1629E76C" w:rsidR="00EF53F1" w:rsidRDefault="00F61699" w:rsidP="00EF53F1">
      <w:pPr>
        <w:pStyle w:val="Listenabsatz"/>
        <w:ind w:left="-113"/>
      </w:pPr>
      <w:r>
        <w:t xml:space="preserve">Dieses Beispiel lässt sich beliebig abwandeln. Denkbar wäre </w:t>
      </w:r>
      <w:r w:rsidR="00485E79">
        <w:t>möglicherweise</w:t>
      </w:r>
      <w:r>
        <w:t xml:space="preserve"> auch eine </w:t>
      </w:r>
      <w:r w:rsidR="005F155A">
        <w:t>K</w:t>
      </w:r>
      <w:r>
        <w:t>odierung von Text über Töne, Helligkeiten oder ähnliches.</w:t>
      </w:r>
      <w:r w:rsidR="001A33E4">
        <w:t xml:space="preserve"> </w:t>
      </w:r>
    </w:p>
    <w:p w14:paraId="2CBDF030" w14:textId="77777777" w:rsidR="00EF53F1" w:rsidRDefault="00EF53F1" w:rsidP="00EF53F1">
      <w:pPr>
        <w:pStyle w:val="Listenabsatz"/>
        <w:ind w:left="-113"/>
      </w:pPr>
    </w:p>
    <w:p w14:paraId="13BF56E8" w14:textId="00F811DF" w:rsidR="00E72A05" w:rsidRDefault="001A33E4" w:rsidP="00EF53F1">
      <w:pPr>
        <w:pStyle w:val="Listenabsatz"/>
        <w:numPr>
          <w:ilvl w:val="0"/>
          <w:numId w:val="26"/>
        </w:numPr>
      </w:pPr>
      <w:r>
        <w:t>Überlegen Sie sich eine weitere Kodierungsart. Implementieren Sie ein entsprechendes Programm zur Kodierung von Zeichenfolg</w:t>
      </w:r>
      <w:r w:rsidR="00F206F3">
        <w:t>en</w:t>
      </w:r>
      <w:r>
        <w:t>.</w:t>
      </w:r>
      <w:r w:rsidR="008712F5">
        <w:t xml:space="preserve"> Entwickeln Sie außerdem ein zugehöriges Programm zur Dekodierung.</w:t>
      </w:r>
    </w:p>
    <w:p w14:paraId="60D52EF9" w14:textId="47409C53" w:rsidR="00B70664" w:rsidRDefault="00781FCA" w:rsidP="00B87AB2">
      <w:pPr>
        <w:pStyle w:val="Listenabsatz"/>
        <w:numPr>
          <w:ilvl w:val="0"/>
          <w:numId w:val="26"/>
        </w:numPr>
      </w:pPr>
      <w:r>
        <w:t xml:space="preserve">Sammeln Sie Beispiele für Kodierungen im Alltag. </w:t>
      </w:r>
      <w:r w:rsidR="00732FA8">
        <w:t>Diskutieren Sie mit anderen Lernenden, w</w:t>
      </w:r>
      <w:r w:rsidR="007D3695">
        <w:t xml:space="preserve">arum man beispielsweise Zeichenketten </w:t>
      </w:r>
      <w:r w:rsidR="00413787">
        <w:t>auf unterschiedliche</w:t>
      </w:r>
      <w:r w:rsidR="007D3695">
        <w:t xml:space="preserve"> Arten kodieren möchte. </w:t>
      </w:r>
    </w:p>
    <w:p w14:paraId="7C36DACD" w14:textId="77777777" w:rsidR="00781FCA" w:rsidRPr="00B70664" w:rsidRDefault="00781FCA" w:rsidP="00781FCA"/>
    <w:p w14:paraId="4835EE7A" w14:textId="3FA4ABBB" w:rsidR="00EF3552" w:rsidRDefault="00EF3552">
      <w:r>
        <w:t>Di</w:t>
      </w:r>
      <w:r w:rsidRPr="0027492F">
        <w:t>eses Werk ist lizenziert unter</w:t>
      </w:r>
      <w:r>
        <w:t xml:space="preserve"> einer </w:t>
      </w:r>
      <w:hyperlink r:id="rId11" w:history="1">
        <w:r w:rsidRPr="00994C05">
          <w:rPr>
            <w:rStyle w:val="Hyperlink"/>
          </w:rPr>
          <w:t>Creative Commons Namensnennung - Nicht-kommerziell - Weitergabe unter gleichen Bedingungen 4.0 International Lizenz.</w:t>
        </w:r>
      </w:hyperlink>
      <w:r w:rsidRPr="0027492F">
        <w:t xml:space="preserve"> </w:t>
      </w:r>
      <w:r>
        <w:t>Sie erlaubt Bearbeitungen und Weiterverteilung des Werks unter Nennung meines Namens und unter gleichen Bedingungen, jedoch keinerlei kommerzielle Nutzung.</w:t>
      </w:r>
    </w:p>
    <w:sectPr w:rsidR="00EF3552" w:rsidSect="003179DB">
      <w:headerReference w:type="default" r:id="rId12"/>
      <w:footerReference w:type="defaul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FE524" w14:textId="77777777" w:rsidR="00F31865" w:rsidRDefault="00F31865" w:rsidP="006D1346">
      <w:pPr>
        <w:spacing w:after="0" w:line="240" w:lineRule="auto"/>
      </w:pPr>
      <w:r>
        <w:separator/>
      </w:r>
    </w:p>
  </w:endnote>
  <w:endnote w:type="continuationSeparator" w:id="0">
    <w:p w14:paraId="6A59B258" w14:textId="77777777" w:rsidR="00F31865" w:rsidRDefault="00F3186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A930BC2" w:rsidR="004850AB" w:rsidRPr="007E2D0D" w:rsidRDefault="00EF3552">
    <w:pPr>
      <w:pStyle w:val="Fuzeile"/>
      <w:rPr>
        <w:color w:val="808080" w:themeColor="background1" w:themeShade="80"/>
        <w:sz w:val="20"/>
        <w:szCs w:val="20"/>
      </w:rPr>
    </w:pPr>
    <w:r>
      <w:rPr>
        <w:noProof/>
      </w:rPr>
      <w:drawing>
        <wp:inline distT="0" distB="0" distL="0" distR="0" wp14:anchorId="480A1260" wp14:editId="78A3FA5E">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Juni</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551A2" w14:textId="77777777" w:rsidR="00F31865" w:rsidRDefault="00F31865" w:rsidP="006D1346">
      <w:pPr>
        <w:spacing w:after="0" w:line="240" w:lineRule="auto"/>
      </w:pPr>
      <w:r>
        <w:separator/>
      </w:r>
    </w:p>
  </w:footnote>
  <w:footnote w:type="continuationSeparator" w:id="0">
    <w:p w14:paraId="71DCA484" w14:textId="77777777" w:rsidR="00F31865" w:rsidRDefault="00F31865"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1F28A5"/>
    <w:multiLevelType w:val="hybridMultilevel"/>
    <w:tmpl w:val="35C2ADB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69A08B7"/>
    <w:multiLevelType w:val="hybridMultilevel"/>
    <w:tmpl w:val="F5DC93B0"/>
    <w:lvl w:ilvl="0" w:tplc="04070011">
      <w:start w:val="1"/>
      <w:numFmt w:val="decimal"/>
      <w:lvlText w:val="%1)"/>
      <w:lvlJc w:val="left"/>
      <w:pPr>
        <w:ind w:left="607" w:hanging="360"/>
      </w:pPr>
    </w:lvl>
    <w:lvl w:ilvl="1" w:tplc="04070019" w:tentative="1">
      <w:start w:val="1"/>
      <w:numFmt w:val="lowerLetter"/>
      <w:lvlText w:val="%2."/>
      <w:lvlJc w:val="left"/>
      <w:pPr>
        <w:ind w:left="1327" w:hanging="360"/>
      </w:pPr>
    </w:lvl>
    <w:lvl w:ilvl="2" w:tplc="0407001B" w:tentative="1">
      <w:start w:val="1"/>
      <w:numFmt w:val="lowerRoman"/>
      <w:lvlText w:val="%3."/>
      <w:lvlJc w:val="right"/>
      <w:pPr>
        <w:ind w:left="2047" w:hanging="180"/>
      </w:pPr>
    </w:lvl>
    <w:lvl w:ilvl="3" w:tplc="0407000F" w:tentative="1">
      <w:start w:val="1"/>
      <w:numFmt w:val="decimal"/>
      <w:lvlText w:val="%4."/>
      <w:lvlJc w:val="left"/>
      <w:pPr>
        <w:ind w:left="2767" w:hanging="360"/>
      </w:pPr>
    </w:lvl>
    <w:lvl w:ilvl="4" w:tplc="04070019" w:tentative="1">
      <w:start w:val="1"/>
      <w:numFmt w:val="lowerLetter"/>
      <w:lvlText w:val="%5."/>
      <w:lvlJc w:val="left"/>
      <w:pPr>
        <w:ind w:left="3487" w:hanging="360"/>
      </w:pPr>
    </w:lvl>
    <w:lvl w:ilvl="5" w:tplc="0407001B" w:tentative="1">
      <w:start w:val="1"/>
      <w:numFmt w:val="lowerRoman"/>
      <w:lvlText w:val="%6."/>
      <w:lvlJc w:val="right"/>
      <w:pPr>
        <w:ind w:left="4207" w:hanging="180"/>
      </w:pPr>
    </w:lvl>
    <w:lvl w:ilvl="6" w:tplc="0407000F" w:tentative="1">
      <w:start w:val="1"/>
      <w:numFmt w:val="decimal"/>
      <w:lvlText w:val="%7."/>
      <w:lvlJc w:val="left"/>
      <w:pPr>
        <w:ind w:left="4927" w:hanging="360"/>
      </w:pPr>
    </w:lvl>
    <w:lvl w:ilvl="7" w:tplc="04070019" w:tentative="1">
      <w:start w:val="1"/>
      <w:numFmt w:val="lowerLetter"/>
      <w:lvlText w:val="%8."/>
      <w:lvlJc w:val="left"/>
      <w:pPr>
        <w:ind w:left="5647" w:hanging="360"/>
      </w:pPr>
    </w:lvl>
    <w:lvl w:ilvl="8" w:tplc="0407001B" w:tentative="1">
      <w:start w:val="1"/>
      <w:numFmt w:val="lowerRoman"/>
      <w:lvlText w:val="%9."/>
      <w:lvlJc w:val="right"/>
      <w:pPr>
        <w:ind w:left="6367"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9"/>
  </w:num>
  <w:num w:numId="3">
    <w:abstractNumId w:val="4"/>
  </w:num>
  <w:num w:numId="4">
    <w:abstractNumId w:val="17"/>
  </w:num>
  <w:num w:numId="5">
    <w:abstractNumId w:val="22"/>
  </w:num>
  <w:num w:numId="6">
    <w:abstractNumId w:val="20"/>
  </w:num>
  <w:num w:numId="7">
    <w:abstractNumId w:val="13"/>
  </w:num>
  <w:num w:numId="8">
    <w:abstractNumId w:val="11"/>
  </w:num>
  <w:num w:numId="9">
    <w:abstractNumId w:val="0"/>
  </w:num>
  <w:num w:numId="10">
    <w:abstractNumId w:val="10"/>
  </w:num>
  <w:num w:numId="11">
    <w:abstractNumId w:val="2"/>
  </w:num>
  <w:num w:numId="12">
    <w:abstractNumId w:val="18"/>
  </w:num>
  <w:num w:numId="13">
    <w:abstractNumId w:val="1"/>
  </w:num>
  <w:num w:numId="14">
    <w:abstractNumId w:val="7"/>
  </w:num>
  <w:num w:numId="15">
    <w:abstractNumId w:val="8"/>
  </w:num>
  <w:num w:numId="16">
    <w:abstractNumId w:val="12"/>
  </w:num>
  <w:num w:numId="17">
    <w:abstractNumId w:val="9"/>
  </w:num>
  <w:num w:numId="18">
    <w:abstractNumId w:val="6"/>
  </w:num>
  <w:num w:numId="19">
    <w:abstractNumId w:val="3"/>
  </w:num>
  <w:num w:numId="20">
    <w:abstractNumId w:val="21"/>
  </w:num>
  <w:num w:numId="21">
    <w:abstractNumId w:val="15"/>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0D716D"/>
    <w:rsid w:val="00126D3F"/>
    <w:rsid w:val="00186A5F"/>
    <w:rsid w:val="001A33E4"/>
    <w:rsid w:val="001C2D07"/>
    <w:rsid w:val="001C606E"/>
    <w:rsid w:val="001F622A"/>
    <w:rsid w:val="00221D86"/>
    <w:rsid w:val="00244639"/>
    <w:rsid w:val="00264EA1"/>
    <w:rsid w:val="00295FB8"/>
    <w:rsid w:val="003179DB"/>
    <w:rsid w:val="00330DB0"/>
    <w:rsid w:val="00334221"/>
    <w:rsid w:val="0037054C"/>
    <w:rsid w:val="00381B15"/>
    <w:rsid w:val="003906DC"/>
    <w:rsid w:val="003B7431"/>
    <w:rsid w:val="003E4F79"/>
    <w:rsid w:val="003F45B4"/>
    <w:rsid w:val="003F5E3B"/>
    <w:rsid w:val="0040418C"/>
    <w:rsid w:val="00412C43"/>
    <w:rsid w:val="00413787"/>
    <w:rsid w:val="00415B86"/>
    <w:rsid w:val="0042385F"/>
    <w:rsid w:val="00445135"/>
    <w:rsid w:val="004850AB"/>
    <w:rsid w:val="00485E79"/>
    <w:rsid w:val="00494093"/>
    <w:rsid w:val="004B0D19"/>
    <w:rsid w:val="004B35A7"/>
    <w:rsid w:val="004C259A"/>
    <w:rsid w:val="004F07DF"/>
    <w:rsid w:val="004F1042"/>
    <w:rsid w:val="0054239A"/>
    <w:rsid w:val="00554E24"/>
    <w:rsid w:val="005E301E"/>
    <w:rsid w:val="005E5D30"/>
    <w:rsid w:val="005F155A"/>
    <w:rsid w:val="005F6623"/>
    <w:rsid w:val="00600140"/>
    <w:rsid w:val="0063498A"/>
    <w:rsid w:val="006464A2"/>
    <w:rsid w:val="00693FB8"/>
    <w:rsid w:val="006942EE"/>
    <w:rsid w:val="006B2673"/>
    <w:rsid w:val="006B39C8"/>
    <w:rsid w:val="006D1346"/>
    <w:rsid w:val="006D2CB4"/>
    <w:rsid w:val="006E07FD"/>
    <w:rsid w:val="006F44AA"/>
    <w:rsid w:val="00725A4D"/>
    <w:rsid w:val="00732FA8"/>
    <w:rsid w:val="0074626D"/>
    <w:rsid w:val="007674A3"/>
    <w:rsid w:val="00767591"/>
    <w:rsid w:val="00781FCA"/>
    <w:rsid w:val="0078342D"/>
    <w:rsid w:val="00793006"/>
    <w:rsid w:val="007D022E"/>
    <w:rsid w:val="007D3695"/>
    <w:rsid w:val="007D72BF"/>
    <w:rsid w:val="007E2D0D"/>
    <w:rsid w:val="00832330"/>
    <w:rsid w:val="00844EA0"/>
    <w:rsid w:val="008508C6"/>
    <w:rsid w:val="00857C67"/>
    <w:rsid w:val="00871052"/>
    <w:rsid w:val="008712F5"/>
    <w:rsid w:val="008A360B"/>
    <w:rsid w:val="008A6407"/>
    <w:rsid w:val="008B14DF"/>
    <w:rsid w:val="008F2A39"/>
    <w:rsid w:val="00970575"/>
    <w:rsid w:val="00983AC1"/>
    <w:rsid w:val="009B1F75"/>
    <w:rsid w:val="009E1FF5"/>
    <w:rsid w:val="00A00FBD"/>
    <w:rsid w:val="00A01422"/>
    <w:rsid w:val="00A061E9"/>
    <w:rsid w:val="00A36CBF"/>
    <w:rsid w:val="00A43086"/>
    <w:rsid w:val="00A7756C"/>
    <w:rsid w:val="00AA35A0"/>
    <w:rsid w:val="00AA432E"/>
    <w:rsid w:val="00AB7D56"/>
    <w:rsid w:val="00AC2022"/>
    <w:rsid w:val="00AC5E66"/>
    <w:rsid w:val="00B07884"/>
    <w:rsid w:val="00B16944"/>
    <w:rsid w:val="00B45DB5"/>
    <w:rsid w:val="00B65416"/>
    <w:rsid w:val="00B70664"/>
    <w:rsid w:val="00B73C44"/>
    <w:rsid w:val="00B7608A"/>
    <w:rsid w:val="00B92DDF"/>
    <w:rsid w:val="00C020BB"/>
    <w:rsid w:val="00C26C50"/>
    <w:rsid w:val="00C74D4B"/>
    <w:rsid w:val="00CA7665"/>
    <w:rsid w:val="00CC05C6"/>
    <w:rsid w:val="00CC6DC4"/>
    <w:rsid w:val="00D01058"/>
    <w:rsid w:val="00D10AC8"/>
    <w:rsid w:val="00D2352E"/>
    <w:rsid w:val="00D33E38"/>
    <w:rsid w:val="00D72D0B"/>
    <w:rsid w:val="00D775E8"/>
    <w:rsid w:val="00DB00FF"/>
    <w:rsid w:val="00DE3722"/>
    <w:rsid w:val="00DF56A6"/>
    <w:rsid w:val="00E032F5"/>
    <w:rsid w:val="00E10441"/>
    <w:rsid w:val="00E34A08"/>
    <w:rsid w:val="00E36D04"/>
    <w:rsid w:val="00E430B6"/>
    <w:rsid w:val="00E64B3F"/>
    <w:rsid w:val="00E67B23"/>
    <w:rsid w:val="00E700F0"/>
    <w:rsid w:val="00E72A05"/>
    <w:rsid w:val="00EB5F95"/>
    <w:rsid w:val="00EC6E4C"/>
    <w:rsid w:val="00EE258D"/>
    <w:rsid w:val="00EF0090"/>
    <w:rsid w:val="00EF3552"/>
    <w:rsid w:val="00EF42B2"/>
    <w:rsid w:val="00EF53F1"/>
    <w:rsid w:val="00F04A61"/>
    <w:rsid w:val="00F206F3"/>
    <w:rsid w:val="00F31865"/>
    <w:rsid w:val="00F37CED"/>
    <w:rsid w:val="00F575F3"/>
    <w:rsid w:val="00F61699"/>
    <w:rsid w:val="00F65F18"/>
    <w:rsid w:val="00F71D2B"/>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IntensiveHervorhebung">
    <w:name w:val="Intense Emphasis"/>
    <w:basedOn w:val="Absatz-Standardschriftart"/>
    <w:uiPriority w:val="21"/>
    <w:qFormat/>
    <w:rsid w:val="00B70664"/>
    <w:rPr>
      <w:i/>
      <w:iCs/>
      <w:color w:val="4472C4" w:themeColor="accent1"/>
    </w:rPr>
  </w:style>
  <w:style w:type="character" w:styleId="BesuchterLink">
    <w:name w:val="FollowedHyperlink"/>
    <w:basedOn w:val="Absatz-Standardschriftart"/>
    <w:uiPriority w:val="99"/>
    <w:semiHidden/>
    <w:unhideWhenUsed/>
    <w:rsid w:val="00EF35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nc-sa/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C28F9-601E-4C62-A998-0D8EC1760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25</cp:revision>
  <cp:lastPrinted>2020-05-25T17:19:00Z</cp:lastPrinted>
  <dcterms:created xsi:type="dcterms:W3CDTF">2020-05-25T11:47:00Z</dcterms:created>
  <dcterms:modified xsi:type="dcterms:W3CDTF">2020-05-26T07:27:00Z</dcterms:modified>
</cp:coreProperties>
</file>