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D10CE" w14:textId="5833E68D" w:rsidR="008D3864" w:rsidRDefault="008D3864" w:rsidP="008D3864">
      <w:pPr>
        <w:pStyle w:val="berschrift1"/>
      </w:pPr>
      <w:r w:rsidRPr="00FF1858">
        <w:t xml:space="preserve">Speichern </w:t>
      </w:r>
      <w:r>
        <w:t xml:space="preserve">und Öffnen </w:t>
      </w:r>
      <w:r w:rsidRPr="00FF1858">
        <w:t xml:space="preserve">von </w:t>
      </w:r>
      <w:r w:rsidRPr="00152680">
        <w:rPr>
          <w:i/>
        </w:rPr>
        <w:t>Snap!</w:t>
      </w:r>
      <w:r w:rsidRPr="008D3864">
        <w:rPr>
          <w:rStyle w:val="Funotenzeichen"/>
          <w:i/>
          <w:iCs/>
        </w:rPr>
        <w:t xml:space="preserve"> </w:t>
      </w:r>
      <w:r>
        <w:rPr>
          <w:rStyle w:val="Funotenzeichen"/>
          <w:i/>
          <w:iCs/>
        </w:rPr>
        <w:footnoteReference w:id="1"/>
      </w:r>
      <w:r w:rsidRPr="00FF1858">
        <w:t>-Projekten</w:t>
      </w:r>
    </w:p>
    <w:p w14:paraId="2A5A8F59" w14:textId="77777777" w:rsidR="008D3864" w:rsidRDefault="008D3864" w:rsidP="008D3864">
      <w:pPr>
        <w:pStyle w:val="berschrift2"/>
      </w:pPr>
      <w:r w:rsidRPr="00FF1858">
        <w:t xml:space="preserve">Speichern </w:t>
      </w:r>
      <w:r>
        <w:t>eines</w:t>
      </w:r>
      <w:r w:rsidRPr="00FF1858">
        <w:t xml:space="preserve"> </w:t>
      </w:r>
      <w:proofErr w:type="gramStart"/>
      <w:r w:rsidRPr="00152680">
        <w:rPr>
          <w:i/>
        </w:rPr>
        <w:t>Snap!</w:t>
      </w:r>
      <w:r w:rsidRPr="00FF1858">
        <w:t>-</w:t>
      </w:r>
      <w:proofErr w:type="gramEnd"/>
      <w:r w:rsidRPr="00FF1858">
        <w:t>Projekte</w:t>
      </w:r>
      <w:r>
        <w:t>s</w:t>
      </w:r>
    </w:p>
    <w:p w14:paraId="6F3A0679" w14:textId="77777777" w:rsidR="008D3864" w:rsidRDefault="008D3864" w:rsidP="008D3864">
      <w:pPr>
        <w:rPr>
          <w:noProof/>
        </w:rPr>
      </w:pPr>
      <w:r>
        <w:t xml:space="preserve">Programme werden in </w:t>
      </w:r>
      <w:r w:rsidRPr="00455137">
        <w:rPr>
          <w:i/>
        </w:rPr>
        <w:t>Snap!</w:t>
      </w:r>
      <w:r>
        <w:t xml:space="preserve"> als Projekte bezeichnet. </w:t>
      </w:r>
      <w:r w:rsidRPr="00FF1858">
        <w:t xml:space="preserve">Wenn man </w:t>
      </w:r>
      <w:r>
        <w:t xml:space="preserve">ein Projekt, das man in </w:t>
      </w:r>
      <w:r w:rsidRPr="00FF1858">
        <w:rPr>
          <w:i/>
        </w:rPr>
        <w:t>Snap!</w:t>
      </w:r>
      <w:r>
        <w:rPr>
          <w:i/>
        </w:rPr>
        <w:t xml:space="preserve"> </w:t>
      </w:r>
      <w:r>
        <w:t xml:space="preserve">erstellt hat, auf dem eigenen Rechner oder dem Schulserver speichern möchte, muss man das Projekt </w:t>
      </w:r>
      <w:r w:rsidRPr="008D3864">
        <w:rPr>
          <w:b/>
          <w:bCs/>
        </w:rPr>
        <w:t>exportieren</w:t>
      </w:r>
      <w:r>
        <w:t xml:space="preserve">. Dazu ruft man im linken Menü den Punkt </w:t>
      </w:r>
      <w:r w:rsidRPr="00FF1858">
        <w:rPr>
          <w:i/>
        </w:rPr>
        <w:t xml:space="preserve">Export </w:t>
      </w:r>
      <w:proofErr w:type="spellStart"/>
      <w:r>
        <w:rPr>
          <w:i/>
        </w:rPr>
        <w:t>p</w:t>
      </w:r>
      <w:r w:rsidRPr="00FF1858">
        <w:rPr>
          <w:i/>
        </w:rPr>
        <w:t>rocject</w:t>
      </w:r>
      <w:proofErr w:type="spellEnd"/>
      <w:r w:rsidRPr="00FF1858">
        <w:rPr>
          <w:i/>
        </w:rPr>
        <w:t xml:space="preserve"> … </w:t>
      </w:r>
      <w:r>
        <w:t xml:space="preserve">auf. </w:t>
      </w:r>
    </w:p>
    <w:p w14:paraId="20173231" w14:textId="77777777" w:rsidR="008D3864" w:rsidRDefault="008D3864" w:rsidP="008D3864">
      <w:pPr>
        <w:keepNext/>
      </w:pPr>
      <w:r w:rsidRPr="00FF1858">
        <w:rPr>
          <w:noProof/>
        </w:rPr>
        <w:drawing>
          <wp:inline distT="0" distB="0" distL="0" distR="0" wp14:anchorId="6C79A3D5" wp14:editId="118F2369">
            <wp:extent cx="3286584" cy="2038635"/>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86584" cy="2038635"/>
                    </a:xfrm>
                    <a:prstGeom prst="rect">
                      <a:avLst/>
                    </a:prstGeom>
                  </pic:spPr>
                </pic:pic>
              </a:graphicData>
            </a:graphic>
          </wp:inline>
        </w:drawing>
      </w:r>
    </w:p>
    <w:p w14:paraId="34ED3A5F" w14:textId="0DD10F0F" w:rsidR="008D3864" w:rsidRDefault="008D3864" w:rsidP="008D3864">
      <w:pPr>
        <w:pStyle w:val="UnterschriftINFSII"/>
      </w:pPr>
      <w:r>
        <w:t xml:space="preserve">Abbildung </w:t>
      </w:r>
      <w:r>
        <w:rPr>
          <w:noProof/>
        </w:rPr>
        <w:fldChar w:fldCharType="begin"/>
      </w:r>
      <w:r>
        <w:rPr>
          <w:noProof/>
        </w:rPr>
        <w:instrText xml:space="preserve"> SEQ Abbildung \* ARABIC </w:instrText>
      </w:r>
      <w:r>
        <w:rPr>
          <w:noProof/>
        </w:rPr>
        <w:fldChar w:fldCharType="separate"/>
      </w:r>
      <w:r w:rsidR="007C3D6E">
        <w:rPr>
          <w:noProof/>
        </w:rPr>
        <w:t>1</w:t>
      </w:r>
      <w:r>
        <w:rPr>
          <w:noProof/>
        </w:rPr>
        <w:fldChar w:fldCharType="end"/>
      </w:r>
      <w:r>
        <w:t>: Menü zum Exportieren eines Projektes</w:t>
      </w:r>
    </w:p>
    <w:p w14:paraId="0BE52DAD" w14:textId="77777777" w:rsidR="008D3864" w:rsidRDefault="008D3864" w:rsidP="008D3864">
      <w:r>
        <w:t xml:space="preserve">Beim erstmaligen Speichern muss zuerst ein Name für das Projekt vergeben werden. Das Projekt wird dann in Form einer </w:t>
      </w:r>
      <w:proofErr w:type="spellStart"/>
      <w:r>
        <w:t>xml</w:t>
      </w:r>
      <w:proofErr w:type="spellEnd"/>
      <w:r>
        <w:t xml:space="preserve">-Datei zum Abspeichern bereitgestellt. Eine </w:t>
      </w:r>
      <w:proofErr w:type="spellStart"/>
      <w:r>
        <w:t>xml</w:t>
      </w:r>
      <w:proofErr w:type="spellEnd"/>
      <w:r>
        <w:t>-Datei ist eine Datei die ganz viel Text enthält. In vielen Browsern erscheint daher zunächst ein kleines Fenster, in dem man aussuchen kann, ob man die Datei öffnen oder speichern möchte.</w:t>
      </w:r>
    </w:p>
    <w:p w14:paraId="7215ED2F" w14:textId="77777777" w:rsidR="008D3864" w:rsidRDefault="008D3864" w:rsidP="008D3864">
      <w:pPr>
        <w:keepNext/>
      </w:pPr>
      <w:r>
        <w:rPr>
          <w:noProof/>
        </w:rPr>
        <w:drawing>
          <wp:inline distT="0" distB="0" distL="0" distR="0" wp14:anchorId="3B4E1E87" wp14:editId="3EF60167">
            <wp:extent cx="4210050" cy="30956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0050" cy="3095625"/>
                    </a:xfrm>
                    <a:prstGeom prst="rect">
                      <a:avLst/>
                    </a:prstGeom>
                  </pic:spPr>
                </pic:pic>
              </a:graphicData>
            </a:graphic>
          </wp:inline>
        </w:drawing>
      </w:r>
    </w:p>
    <w:p w14:paraId="4E390BC6" w14:textId="12F0287F" w:rsidR="008D3864" w:rsidRDefault="008D3864" w:rsidP="008D3864">
      <w:pPr>
        <w:pStyle w:val="UnterschriftINFSII"/>
      </w:pPr>
      <w:r>
        <w:t xml:space="preserve">Abbildung </w:t>
      </w:r>
      <w:r>
        <w:rPr>
          <w:noProof/>
        </w:rPr>
        <w:fldChar w:fldCharType="begin"/>
      </w:r>
      <w:r>
        <w:rPr>
          <w:noProof/>
        </w:rPr>
        <w:instrText xml:space="preserve"> SEQ Abbildung \* ARABIC </w:instrText>
      </w:r>
      <w:r>
        <w:rPr>
          <w:noProof/>
        </w:rPr>
        <w:fldChar w:fldCharType="separate"/>
      </w:r>
      <w:r w:rsidR="007C3D6E">
        <w:rPr>
          <w:noProof/>
        </w:rPr>
        <w:t>2</w:t>
      </w:r>
      <w:r>
        <w:rPr>
          <w:noProof/>
        </w:rPr>
        <w:fldChar w:fldCharType="end"/>
      </w:r>
      <w:r>
        <w:t>: Auswahlfenster im Browser Firefox</w:t>
      </w:r>
    </w:p>
    <w:p w14:paraId="7D8593C0" w14:textId="77777777" w:rsidR="008D3864" w:rsidRDefault="008D3864" w:rsidP="008D3864">
      <w:pPr>
        <w:keepNext/>
      </w:pPr>
      <w:r>
        <w:rPr>
          <w:noProof/>
        </w:rPr>
        <w:lastRenderedPageBreak/>
        <w:drawing>
          <wp:inline distT="0" distB="0" distL="0" distR="0" wp14:anchorId="7EA09685" wp14:editId="71BB5ECE">
            <wp:extent cx="5760720" cy="300355"/>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00355"/>
                    </a:xfrm>
                    <a:prstGeom prst="rect">
                      <a:avLst/>
                    </a:prstGeom>
                  </pic:spPr>
                </pic:pic>
              </a:graphicData>
            </a:graphic>
          </wp:inline>
        </w:drawing>
      </w:r>
    </w:p>
    <w:p w14:paraId="08823160" w14:textId="214B443B" w:rsidR="008D3864" w:rsidRPr="008D3864" w:rsidRDefault="008D3864" w:rsidP="008D3864">
      <w:pPr>
        <w:pStyle w:val="UnterschriftINFSII"/>
      </w:pPr>
      <w:r w:rsidRPr="008D3864">
        <w:t xml:space="preserve">Abbildung </w:t>
      </w:r>
      <w:fldSimple w:instr=" SEQ Abbildung \* ARABIC ">
        <w:r w:rsidR="007C3D6E">
          <w:rPr>
            <w:noProof/>
          </w:rPr>
          <w:t>3</w:t>
        </w:r>
      </w:fldSimple>
      <w:r w:rsidRPr="008D3864">
        <w:t>: Auswahlfenster im Browser Internet Explorer</w:t>
      </w:r>
    </w:p>
    <w:p w14:paraId="05ACF6D6" w14:textId="77777777" w:rsidR="008D3864" w:rsidRDefault="008D3864" w:rsidP="008D3864">
      <w:r>
        <w:t xml:space="preserve">Wir entscheiden uns für </w:t>
      </w:r>
      <w:r w:rsidRPr="008D3864">
        <w:rPr>
          <w:i/>
          <w:iCs/>
        </w:rPr>
        <w:t>speichern</w:t>
      </w:r>
      <w:r>
        <w:t xml:space="preserve">. Anschließend können wir den Speicherort auswählen und einen Dateinamen vergeben. </w:t>
      </w:r>
    </w:p>
    <w:p w14:paraId="578623BE" w14:textId="4FBB94CE" w:rsidR="008D3864" w:rsidRDefault="008D3864" w:rsidP="008D3864">
      <w:r>
        <w:t xml:space="preserve">Je nach Browser kann der Ablauf etwas variieren. Der Browser </w:t>
      </w:r>
      <w:r w:rsidRPr="00455137">
        <w:rPr>
          <w:i/>
        </w:rPr>
        <w:t>Google Chrome</w:t>
      </w:r>
      <w:r>
        <w:t xml:space="preserve"> beispielsweise leitet uns gleich zur Auswahl des Speicherortes weiter. In jedem Fall benötigen wir die </w:t>
      </w:r>
      <w:proofErr w:type="spellStart"/>
      <w:r>
        <w:t>xml</w:t>
      </w:r>
      <w:proofErr w:type="spellEnd"/>
      <w:r>
        <w:t>-Datei, in der die Beschreibung unseres Projektes enthalten ist.</w:t>
      </w:r>
    </w:p>
    <w:p w14:paraId="50160C1C" w14:textId="77777777" w:rsidR="008D3864" w:rsidRPr="00152680" w:rsidRDefault="008D3864" w:rsidP="008D3864">
      <w:pPr>
        <w:spacing w:before="360"/>
        <w:rPr>
          <w:b/>
          <w:sz w:val="24"/>
          <w:szCs w:val="24"/>
        </w:rPr>
      </w:pPr>
      <w:r w:rsidRPr="00152680">
        <w:rPr>
          <w:b/>
          <w:sz w:val="24"/>
          <w:szCs w:val="24"/>
        </w:rPr>
        <w:t xml:space="preserve">Öffnen eines </w:t>
      </w:r>
      <w:proofErr w:type="gramStart"/>
      <w:r w:rsidRPr="00DB2022">
        <w:rPr>
          <w:b/>
          <w:i/>
          <w:sz w:val="24"/>
          <w:szCs w:val="24"/>
        </w:rPr>
        <w:t>Snap!</w:t>
      </w:r>
      <w:r w:rsidRPr="00152680">
        <w:rPr>
          <w:b/>
          <w:sz w:val="24"/>
          <w:szCs w:val="24"/>
        </w:rPr>
        <w:t>-</w:t>
      </w:r>
      <w:proofErr w:type="gramEnd"/>
      <w:r w:rsidRPr="00152680">
        <w:rPr>
          <w:b/>
          <w:sz w:val="24"/>
          <w:szCs w:val="24"/>
        </w:rPr>
        <w:t>Projektes</w:t>
      </w:r>
    </w:p>
    <w:p w14:paraId="78DB7113" w14:textId="77777777" w:rsidR="008D3864" w:rsidRDefault="008D3864" w:rsidP="008D3864">
      <w:r>
        <w:t xml:space="preserve">Wenn wir ein Projekt, das wir wie oben beschrieben gespeichert haben, später wieder öffnen möchten, rufen wir den Menüpunkt </w:t>
      </w:r>
      <w:r w:rsidRPr="00152680">
        <w:rPr>
          <w:i/>
        </w:rPr>
        <w:t>Import …</w:t>
      </w:r>
      <w:r>
        <w:t xml:space="preserve"> auf.</w:t>
      </w:r>
    </w:p>
    <w:p w14:paraId="158DDD1E" w14:textId="77777777" w:rsidR="008D3864" w:rsidRDefault="008D3864" w:rsidP="008D3864">
      <w:pPr>
        <w:keepNext/>
      </w:pPr>
      <w:r w:rsidRPr="00152680">
        <w:rPr>
          <w:noProof/>
        </w:rPr>
        <w:drawing>
          <wp:inline distT="0" distB="0" distL="0" distR="0" wp14:anchorId="3C30F3A8" wp14:editId="3D004062">
            <wp:extent cx="3439005" cy="2105319"/>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39005" cy="2105319"/>
                    </a:xfrm>
                    <a:prstGeom prst="rect">
                      <a:avLst/>
                    </a:prstGeom>
                  </pic:spPr>
                </pic:pic>
              </a:graphicData>
            </a:graphic>
          </wp:inline>
        </w:drawing>
      </w:r>
    </w:p>
    <w:p w14:paraId="7E687B12" w14:textId="0D7514E7" w:rsidR="008D3864" w:rsidRDefault="008D3864" w:rsidP="008D3864">
      <w:pPr>
        <w:pStyle w:val="UnterschriftINFSII"/>
      </w:pPr>
      <w:r>
        <w:t xml:space="preserve">Abbildung </w:t>
      </w:r>
      <w:r>
        <w:rPr>
          <w:noProof/>
        </w:rPr>
        <w:fldChar w:fldCharType="begin"/>
      </w:r>
      <w:r>
        <w:rPr>
          <w:noProof/>
        </w:rPr>
        <w:instrText xml:space="preserve"> SEQ Abbildung \* ARABIC </w:instrText>
      </w:r>
      <w:r>
        <w:rPr>
          <w:noProof/>
        </w:rPr>
        <w:fldChar w:fldCharType="separate"/>
      </w:r>
      <w:r w:rsidR="007C3D6E">
        <w:rPr>
          <w:noProof/>
        </w:rPr>
        <w:t>4</w:t>
      </w:r>
      <w:r>
        <w:rPr>
          <w:noProof/>
        </w:rPr>
        <w:fldChar w:fldCharType="end"/>
      </w:r>
      <w:r>
        <w:t>: Menü zum Importieren eines Projektes</w:t>
      </w:r>
    </w:p>
    <w:p w14:paraId="09466411" w14:textId="77777777" w:rsidR="008D3864" w:rsidRPr="00152680" w:rsidRDefault="008D3864" w:rsidP="008D3864">
      <w:r>
        <w:t xml:space="preserve">Anschließend öffnet sich ein Dateibrowser, in dem wir die </w:t>
      </w:r>
      <w:proofErr w:type="spellStart"/>
      <w:r>
        <w:t>xml</w:t>
      </w:r>
      <w:proofErr w:type="spellEnd"/>
      <w:r>
        <w:t xml:space="preserve">-Datei, in der unser Projekt gespeichert ist, auswählen können. </w:t>
      </w:r>
    </w:p>
    <w:p w14:paraId="68244022" w14:textId="51BD3F14" w:rsidR="00E806CC" w:rsidRDefault="00E806CC" w:rsidP="003C419A">
      <w:pPr>
        <w:pStyle w:val="Listenabsatz"/>
        <w:spacing w:before="240"/>
        <w:ind w:left="0"/>
        <w:contextualSpacing w:val="0"/>
      </w:pPr>
    </w:p>
    <w:p w14:paraId="6429BD3A" w14:textId="304D478B" w:rsidR="00E806CC" w:rsidRDefault="00E806CC" w:rsidP="003C419A">
      <w:pPr>
        <w:pStyle w:val="Listenabsatz"/>
        <w:spacing w:before="240"/>
        <w:ind w:left="0"/>
        <w:contextualSpacing w:val="0"/>
      </w:pPr>
    </w:p>
    <w:p w14:paraId="1FBE616F" w14:textId="77777777" w:rsidR="00E806CC" w:rsidRPr="00FD7CA4" w:rsidRDefault="00E806CC" w:rsidP="003C419A">
      <w:pPr>
        <w:pStyle w:val="Listenabsatz"/>
        <w:spacing w:before="240"/>
        <w:ind w:left="0"/>
        <w:contextualSpacing w:val="0"/>
      </w:pPr>
    </w:p>
    <w:p w14:paraId="21854288" w14:textId="274B06C6" w:rsidR="00E032F5" w:rsidRDefault="003C419A" w:rsidP="003C419A">
      <w:pPr>
        <w:pStyle w:val="berschrift2"/>
      </w:pPr>
      <w:r>
        <w:t>Lizenz</w:t>
      </w:r>
    </w:p>
    <w:p w14:paraId="4593242F" w14:textId="77777777" w:rsidR="0097381C" w:rsidRPr="005E1E04" w:rsidRDefault="0097381C" w:rsidP="0097381C">
      <w:bookmarkStart w:id="1" w:name="_Hlk36642635"/>
      <w:bookmarkStart w:id="2" w:name="_Hlk48148046"/>
      <w:r w:rsidRPr="005E1E04">
        <w:t xml:space="preserve">Dieses Werk ist lizenziert unter einer </w:t>
      </w:r>
      <w:hyperlink r:id="rId12" w:history="1">
        <w:r w:rsidRPr="0097381C">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2"/>
    </w:p>
    <w:bookmarkEnd w:id="1"/>
    <w:p w14:paraId="294DA604" w14:textId="77777777" w:rsidR="00E806CC" w:rsidRPr="0027492F" w:rsidRDefault="00E806CC" w:rsidP="00970575"/>
    <w:p w14:paraId="627BED87" w14:textId="77777777" w:rsidR="00970575" w:rsidRDefault="00970575"/>
    <w:sectPr w:rsidR="00970575" w:rsidSect="003179DB">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F6857" w14:textId="77777777" w:rsidR="00E62C5D" w:rsidRDefault="00E62C5D" w:rsidP="006D1346">
      <w:pPr>
        <w:spacing w:after="0" w:line="240" w:lineRule="auto"/>
      </w:pPr>
      <w:r>
        <w:separator/>
      </w:r>
    </w:p>
  </w:endnote>
  <w:endnote w:type="continuationSeparator" w:id="0">
    <w:p w14:paraId="6D4A6553" w14:textId="77777777" w:rsidR="00E62C5D" w:rsidRDefault="00E62C5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214A31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01B771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806CC">
      <w:rPr>
        <w:color w:val="808080" w:themeColor="background1" w:themeShade="80"/>
        <w:sz w:val="20"/>
        <w:szCs w:val="20"/>
      </w:rPr>
      <w:t>August</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ED42F" w14:textId="77777777" w:rsidR="00E62C5D" w:rsidRDefault="00E62C5D" w:rsidP="006D1346">
      <w:pPr>
        <w:spacing w:after="0" w:line="240" w:lineRule="auto"/>
      </w:pPr>
      <w:r>
        <w:separator/>
      </w:r>
    </w:p>
  </w:footnote>
  <w:footnote w:type="continuationSeparator" w:id="0">
    <w:p w14:paraId="3606DEFC" w14:textId="77777777" w:rsidR="00E62C5D" w:rsidRDefault="00E62C5D" w:rsidP="006D1346">
      <w:pPr>
        <w:spacing w:after="0" w:line="240" w:lineRule="auto"/>
      </w:pPr>
      <w:r>
        <w:continuationSeparator/>
      </w:r>
    </w:p>
  </w:footnote>
  <w:footnote w:id="1">
    <w:p w14:paraId="308ACEFF" w14:textId="77777777" w:rsidR="008D3864" w:rsidRDefault="008D3864" w:rsidP="008D3864">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7"/>
  </w:num>
  <w:num w:numId="2">
    <w:abstractNumId w:val="20"/>
  </w:num>
  <w:num w:numId="3">
    <w:abstractNumId w:val="4"/>
  </w:num>
  <w:num w:numId="4">
    <w:abstractNumId w:val="18"/>
  </w:num>
  <w:num w:numId="5">
    <w:abstractNumId w:val="23"/>
  </w:num>
  <w:num w:numId="6">
    <w:abstractNumId w:val="21"/>
  </w:num>
  <w:num w:numId="7">
    <w:abstractNumId w:val="15"/>
  </w:num>
  <w:num w:numId="8">
    <w:abstractNumId w:val="13"/>
  </w:num>
  <w:num w:numId="9">
    <w:abstractNumId w:val="0"/>
  </w:num>
  <w:num w:numId="10">
    <w:abstractNumId w:val="12"/>
  </w:num>
  <w:num w:numId="11">
    <w:abstractNumId w:val="2"/>
  </w:num>
  <w:num w:numId="12">
    <w:abstractNumId w:val="19"/>
  </w:num>
  <w:num w:numId="13">
    <w:abstractNumId w:val="1"/>
  </w:num>
  <w:num w:numId="14">
    <w:abstractNumId w:val="9"/>
  </w:num>
  <w:num w:numId="15">
    <w:abstractNumId w:val="10"/>
  </w:num>
  <w:num w:numId="16">
    <w:abstractNumId w:val="14"/>
  </w:num>
  <w:num w:numId="17">
    <w:abstractNumId w:val="11"/>
  </w:num>
  <w:num w:numId="18">
    <w:abstractNumId w:val="6"/>
  </w:num>
  <w:num w:numId="19">
    <w:abstractNumId w:val="3"/>
  </w:num>
  <w:num w:numId="20">
    <w:abstractNumId w:val="22"/>
  </w:num>
  <w:num w:numId="21">
    <w:abstractNumId w:val="16"/>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8"/>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126D3F"/>
    <w:rsid w:val="00186A5F"/>
    <w:rsid w:val="001C2D07"/>
    <w:rsid w:val="001F622A"/>
    <w:rsid w:val="00221D86"/>
    <w:rsid w:val="00244639"/>
    <w:rsid w:val="00264EA1"/>
    <w:rsid w:val="002B122F"/>
    <w:rsid w:val="003179DB"/>
    <w:rsid w:val="00330DB0"/>
    <w:rsid w:val="00334221"/>
    <w:rsid w:val="00381B15"/>
    <w:rsid w:val="003906DC"/>
    <w:rsid w:val="003B7431"/>
    <w:rsid w:val="003C419A"/>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75AA2"/>
    <w:rsid w:val="005E301E"/>
    <w:rsid w:val="005E5D30"/>
    <w:rsid w:val="005F6623"/>
    <w:rsid w:val="00600140"/>
    <w:rsid w:val="0063498A"/>
    <w:rsid w:val="006464A2"/>
    <w:rsid w:val="00693FB8"/>
    <w:rsid w:val="006B2673"/>
    <w:rsid w:val="006B39C8"/>
    <w:rsid w:val="006D1346"/>
    <w:rsid w:val="006D2CB4"/>
    <w:rsid w:val="006E07FD"/>
    <w:rsid w:val="006F44AA"/>
    <w:rsid w:val="00725A4D"/>
    <w:rsid w:val="0074626D"/>
    <w:rsid w:val="007674A3"/>
    <w:rsid w:val="00767591"/>
    <w:rsid w:val="0078342D"/>
    <w:rsid w:val="00793006"/>
    <w:rsid w:val="007C3D6E"/>
    <w:rsid w:val="007D022E"/>
    <w:rsid w:val="007D72BF"/>
    <w:rsid w:val="007E2D0D"/>
    <w:rsid w:val="00844EA0"/>
    <w:rsid w:val="008508C6"/>
    <w:rsid w:val="00857C67"/>
    <w:rsid w:val="00871052"/>
    <w:rsid w:val="008A360B"/>
    <w:rsid w:val="008A6407"/>
    <w:rsid w:val="008B14DF"/>
    <w:rsid w:val="008D3864"/>
    <w:rsid w:val="008F2A39"/>
    <w:rsid w:val="00970575"/>
    <w:rsid w:val="0097381C"/>
    <w:rsid w:val="00983AC1"/>
    <w:rsid w:val="009B1F75"/>
    <w:rsid w:val="009D41C8"/>
    <w:rsid w:val="009E1FF5"/>
    <w:rsid w:val="00A00FBD"/>
    <w:rsid w:val="00A01422"/>
    <w:rsid w:val="00A061E9"/>
    <w:rsid w:val="00A36CBF"/>
    <w:rsid w:val="00A43086"/>
    <w:rsid w:val="00AA35A0"/>
    <w:rsid w:val="00AA432E"/>
    <w:rsid w:val="00AC2022"/>
    <w:rsid w:val="00AC5E66"/>
    <w:rsid w:val="00B07884"/>
    <w:rsid w:val="00B45DB5"/>
    <w:rsid w:val="00B65416"/>
    <w:rsid w:val="00B73C44"/>
    <w:rsid w:val="00B7608A"/>
    <w:rsid w:val="00B92DDF"/>
    <w:rsid w:val="00C020BB"/>
    <w:rsid w:val="00C26C50"/>
    <w:rsid w:val="00C74D4B"/>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62C5D"/>
    <w:rsid w:val="00E64B3F"/>
    <w:rsid w:val="00E67B23"/>
    <w:rsid w:val="00E700F0"/>
    <w:rsid w:val="00E806CC"/>
    <w:rsid w:val="00EB5F95"/>
    <w:rsid w:val="00EC6E4C"/>
    <w:rsid w:val="00EF0090"/>
    <w:rsid w:val="00EF42B2"/>
    <w:rsid w:val="00F02E3D"/>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D4919-C4F0-4A2E-9BBC-6439BDC41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2020-08-12T16:17:00Z</cp:lastPrinted>
  <dcterms:created xsi:type="dcterms:W3CDTF">2019-08-17T19:22:00Z</dcterms:created>
  <dcterms:modified xsi:type="dcterms:W3CDTF">2020-08-12T16:17:00Z</dcterms:modified>
</cp:coreProperties>
</file>